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70EE6DB1"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92343B" w:rsidRPr="000B3A75">
        <w:rPr>
          <w:rFonts w:ascii="Bookman Old Style" w:hAnsi="Bookman Old Style" w:cs="Arial"/>
          <w:b/>
          <w:i/>
          <w:iCs/>
          <w:sz w:val="28"/>
          <w:szCs w:val="28"/>
          <w:lang w:val="el-GR"/>
        </w:rPr>
        <w:t>17</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1F9CFD5D" w:rsidR="004C29CA" w:rsidRPr="000B3A75" w:rsidRDefault="000B3A75" w:rsidP="000B3A75">
      <w:pPr>
        <w:ind w:left="7920" w:right="-35"/>
        <w:jc w:val="center"/>
        <w:rPr>
          <w:rFonts w:ascii="Bookman Old Style" w:hAnsi="Bookman Old Style" w:cs="Arial"/>
          <w:b/>
          <w:bCs/>
          <w:i/>
          <w:iCs/>
          <w:sz w:val="28"/>
          <w:szCs w:val="28"/>
          <w:lang w:val="el-GR"/>
        </w:rPr>
      </w:pPr>
      <w:r w:rsidRPr="000B3A75">
        <w:rPr>
          <w:rFonts w:ascii="Bookman Old Style" w:hAnsi="Bookman Old Style" w:cs="Arial"/>
          <w:b/>
          <w:bCs/>
          <w:i/>
          <w:iCs/>
          <w:sz w:val="28"/>
          <w:szCs w:val="28"/>
          <w:lang w:val="el-GR"/>
        </w:rPr>
        <w:t>(</w:t>
      </w:r>
      <w:r w:rsidRPr="000B3A75">
        <w:rPr>
          <w:rFonts w:ascii="Bookman Old Style" w:hAnsi="Bookman Old Style" w:cs="Arial"/>
          <w:b/>
          <w:bCs/>
          <w:i/>
          <w:iCs/>
          <w:sz w:val="28"/>
          <w:szCs w:val="28"/>
          <w:lang w:val="en-US"/>
        </w:rPr>
        <w:t>i</w:t>
      </w:r>
      <w:r w:rsidRPr="000B3A75">
        <w:rPr>
          <w:rFonts w:ascii="Bookman Old Style" w:hAnsi="Bookman Old Style" w:cs="Arial"/>
          <w:b/>
          <w:bCs/>
          <w:i/>
          <w:iCs/>
          <w:sz w:val="28"/>
          <w:szCs w:val="28"/>
          <w:lang w:val="el-GR"/>
        </w:rPr>
        <w:t>-</w:t>
      </w:r>
      <w:r w:rsidRPr="000B3A75">
        <w:rPr>
          <w:rFonts w:ascii="Bookman Old Style" w:hAnsi="Bookman Old Style" w:cs="Arial"/>
          <w:b/>
          <w:bCs/>
          <w:i/>
          <w:iCs/>
          <w:sz w:val="28"/>
          <w:szCs w:val="28"/>
          <w:lang w:val="en-US"/>
        </w:rPr>
        <w:t>justice</w:t>
      </w:r>
      <w:r w:rsidRPr="00F13ADE">
        <w:rPr>
          <w:rFonts w:ascii="Bookman Old Style" w:hAnsi="Bookman Old Style" w:cs="Arial"/>
          <w:b/>
          <w:bCs/>
          <w:i/>
          <w:iCs/>
          <w:sz w:val="28"/>
          <w:szCs w:val="28"/>
          <w:lang w:val="el-GR"/>
        </w:rPr>
        <w:t>)</w:t>
      </w:r>
    </w:p>
    <w:p w14:paraId="3168C780" w14:textId="77777777" w:rsidR="004C29CA" w:rsidRPr="007A0D8E" w:rsidRDefault="004C29CA" w:rsidP="0000790C">
      <w:pPr>
        <w:ind w:right="-35"/>
        <w:jc w:val="center"/>
        <w:rPr>
          <w:rFonts w:ascii="Bookman Old Style" w:hAnsi="Bookman Old Style" w:cs="Arial"/>
          <w:b/>
          <w:sz w:val="28"/>
          <w:szCs w:val="28"/>
          <w:lang w:val="el-GR"/>
        </w:rPr>
      </w:pPr>
    </w:p>
    <w:p w14:paraId="1BBA4D20" w14:textId="614E746E" w:rsidR="004C29CA" w:rsidRPr="004F5616" w:rsidRDefault="004C29CA" w:rsidP="0000790C">
      <w:pPr>
        <w:ind w:right="-35"/>
        <w:jc w:val="center"/>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86134F">
        <w:rPr>
          <w:rFonts w:ascii="Bookman Old Style" w:hAnsi="Bookman Old Style" w:cs="Arial"/>
          <w:b/>
          <w:sz w:val="28"/>
          <w:szCs w:val="28"/>
          <w:lang w:val="el-GR"/>
        </w:rPr>
        <w:t xml:space="preserve">16 Οκτωβρίου,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357D4B69"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6872F4">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5EC65F7B" w14:textId="22DAA8C0"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eastAsia="en-US" w:bidi="el-GR"/>
        </w:rPr>
      </w:pPr>
      <w:r>
        <w:rPr>
          <w:rFonts w:ascii="Bookman Old Style" w:hAnsi="Bookman Old Style"/>
          <w:color w:val="000000"/>
          <w:sz w:val="28"/>
          <w:szCs w:val="28"/>
          <w:lang w:bidi="el-GR"/>
        </w:rPr>
        <w:t xml:space="preserve">ΑΝΑΦΟΡΙΚΑ ΜΕ ΤΟ ΑΡΘΡΟ 155.4 ΤΟΥ ΣΥΝΤΑΓΜΑΤΟΣ ΚΑΙ ΤΑ ΑΡΘΡΑ 3 ΚΑΙ 9 ΤΟΥ ΠΕΡΙ ΑΠΟΝΟΜΗΣ </w:t>
      </w:r>
      <w:r w:rsidR="0086134F">
        <w:rPr>
          <w:rFonts w:ascii="Bookman Old Style" w:hAnsi="Bookman Old Style"/>
          <w:color w:val="000000"/>
          <w:sz w:val="28"/>
          <w:szCs w:val="28"/>
          <w:lang w:bidi="el-GR"/>
        </w:rPr>
        <w:t>ΤΗΣ</w:t>
      </w:r>
      <w:r>
        <w:rPr>
          <w:rFonts w:ascii="Bookman Old Style" w:hAnsi="Bookman Old Style"/>
          <w:color w:val="000000"/>
          <w:sz w:val="28"/>
          <w:szCs w:val="28"/>
          <w:lang w:bidi="el-GR"/>
        </w:rPr>
        <w:t xml:space="preserve"> ΔΙΚΑΙΟΣΥΝΗΣ (ΠΟΙΚΙΛΑΙ ΔΙΑΤΑΞΕΙΣ) ΝΟΜΟΥ ΤΟΥ 1964</w:t>
      </w:r>
    </w:p>
    <w:p w14:paraId="7B49D9FB" w14:textId="77777777"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5B3C6C64" w14:textId="77777777" w:rsidR="00F13ADE" w:rsidRDefault="00F13ADE" w:rsidP="00F13ADE">
      <w:pPr>
        <w:pStyle w:val="Bodytext20"/>
        <w:shd w:val="clear" w:color="auto" w:fill="auto"/>
        <w:spacing w:before="0" w:line="276" w:lineRule="auto"/>
        <w:ind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8171C0F" w14:textId="77777777"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bidi="el-GR"/>
        </w:rPr>
      </w:pPr>
    </w:p>
    <w:p w14:paraId="699C3C38" w14:textId="77777777"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29BF2934" w14:textId="77777777" w:rsidR="00F13ADE" w:rsidRDefault="00F13ADE" w:rsidP="00F13ADE">
      <w:pPr>
        <w:pStyle w:val="Bodytext20"/>
        <w:shd w:val="clear" w:color="auto" w:fill="auto"/>
        <w:spacing w:before="0" w:line="276" w:lineRule="auto"/>
        <w:ind w:right="-319"/>
        <w:jc w:val="center"/>
        <w:rPr>
          <w:rFonts w:ascii="Bookman Old Style" w:hAnsi="Bookman Old Style"/>
          <w:color w:val="000000"/>
          <w:sz w:val="28"/>
          <w:szCs w:val="28"/>
          <w:lang w:bidi="el-GR"/>
        </w:rPr>
      </w:pPr>
    </w:p>
    <w:p w14:paraId="259C8935" w14:textId="77777777" w:rsidR="00F13ADE" w:rsidRDefault="00F13ADE" w:rsidP="00F13ADE">
      <w:pPr>
        <w:pStyle w:val="Bodytext20"/>
        <w:shd w:val="clear" w:color="auto" w:fill="auto"/>
        <w:spacing w:before="0" w:line="276" w:lineRule="auto"/>
        <w:ind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1487D84" w14:textId="77777777"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bidi="el-GR"/>
        </w:rPr>
      </w:pPr>
    </w:p>
    <w:p w14:paraId="5503DA76" w14:textId="7EC041B7"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ΤΟΥ Θ</w:t>
      </w:r>
      <w:r w:rsidR="0014054B" w:rsidRPr="0014054B">
        <w:rPr>
          <w:rFonts w:ascii="Bookman Old Style" w:hAnsi="Bookman Old Style"/>
          <w:color w:val="000000"/>
          <w:sz w:val="28"/>
          <w:szCs w:val="28"/>
          <w:lang w:bidi="el-GR"/>
        </w:rPr>
        <w:t>.</w:t>
      </w:r>
      <w:r>
        <w:rPr>
          <w:rFonts w:ascii="Bookman Old Style" w:hAnsi="Bookman Old Style"/>
          <w:color w:val="000000"/>
          <w:sz w:val="28"/>
          <w:szCs w:val="28"/>
          <w:lang w:bidi="el-GR"/>
        </w:rPr>
        <w:t>Θ</w:t>
      </w:r>
      <w:r w:rsidR="0014054B" w:rsidRPr="0014054B">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ΕΚ ΛΕΥΚΩΣΙΑΣ ΓΙΑ ΤΗΝ ΕΚΔΟΣΗ ΠΡΟΝΟΜΙΑΚΟΥ ΕΝΤΑΛΜΑΤΟΣ ΦΥΣΕΩΣ </w:t>
      </w:r>
      <w:r>
        <w:rPr>
          <w:rFonts w:ascii="Bookman Old Style" w:hAnsi="Bookman Old Style"/>
          <w:color w:val="000000"/>
          <w:sz w:val="28"/>
          <w:szCs w:val="28"/>
          <w:lang w:val="en-US" w:bidi="el-GR"/>
        </w:rPr>
        <w:t>CERTIORARI</w:t>
      </w:r>
    </w:p>
    <w:p w14:paraId="0FE0D2D6" w14:textId="77777777" w:rsidR="00F13ADE" w:rsidRDefault="00F13ADE" w:rsidP="00F13ADE">
      <w:pPr>
        <w:pStyle w:val="Bodytext20"/>
        <w:shd w:val="clear" w:color="auto" w:fill="auto"/>
        <w:spacing w:before="0" w:line="276" w:lineRule="auto"/>
        <w:ind w:right="-319"/>
        <w:jc w:val="center"/>
        <w:rPr>
          <w:rFonts w:ascii="Bookman Old Style" w:hAnsi="Bookman Old Style"/>
          <w:color w:val="000000"/>
          <w:sz w:val="28"/>
          <w:szCs w:val="28"/>
          <w:lang w:bidi="el-GR"/>
        </w:rPr>
      </w:pPr>
    </w:p>
    <w:p w14:paraId="3F05253F" w14:textId="77777777" w:rsidR="00F13ADE" w:rsidRDefault="00F13ADE" w:rsidP="00F13ADE">
      <w:pPr>
        <w:pStyle w:val="Bodytext20"/>
        <w:shd w:val="clear" w:color="auto" w:fill="auto"/>
        <w:spacing w:before="0" w:line="276" w:lineRule="auto"/>
        <w:ind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372C2FE" w14:textId="77777777" w:rsidR="00F13ADE" w:rsidRDefault="00F13ADE" w:rsidP="00F13ADE">
      <w:pPr>
        <w:pStyle w:val="Bodytext20"/>
        <w:shd w:val="clear" w:color="auto" w:fill="auto"/>
        <w:spacing w:before="0" w:line="276" w:lineRule="auto"/>
        <w:ind w:right="-319"/>
        <w:rPr>
          <w:rFonts w:ascii="Bookman Old Style" w:hAnsi="Bookman Old Style"/>
          <w:color w:val="000000"/>
          <w:sz w:val="28"/>
          <w:szCs w:val="28"/>
          <w:lang w:bidi="el-GR"/>
        </w:rPr>
      </w:pPr>
    </w:p>
    <w:p w14:paraId="24AF73B3" w14:textId="265A602D" w:rsidR="00F13ADE" w:rsidRDefault="00F13ADE" w:rsidP="00F13ADE">
      <w:pPr>
        <w:pStyle w:val="Bodytext20"/>
        <w:pBdr>
          <w:bottom w:val="single" w:sz="12" w:space="1" w:color="auto"/>
        </w:pBdr>
        <w:shd w:val="clear" w:color="auto" w:fill="auto"/>
        <w:spacing w:before="0" w:line="276" w:lineRule="auto"/>
        <w:ind w:right="-319"/>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ΤΑ ΕΝΤΑΛΜΑΤΑ ΕΡΕΥΝΑΣ ΗΜΕΡΟΜΗΝΙΑΣ 25/08/23 ΠΟΥ ΕΚΔΟΘΗΚΑΝ </w:t>
      </w:r>
      <w:r w:rsidR="00A8402D">
        <w:rPr>
          <w:rFonts w:ascii="Bookman Old Style" w:hAnsi="Bookman Old Style"/>
          <w:color w:val="000000"/>
          <w:sz w:val="28"/>
          <w:szCs w:val="28"/>
          <w:lang w:bidi="el-GR"/>
        </w:rPr>
        <w:t>ΑΠΟ</w:t>
      </w:r>
      <w:r>
        <w:rPr>
          <w:rFonts w:ascii="Bookman Old Style" w:hAnsi="Bookman Old Style"/>
          <w:color w:val="000000"/>
          <w:sz w:val="28"/>
          <w:szCs w:val="28"/>
          <w:lang w:bidi="el-GR"/>
        </w:rPr>
        <w:t xml:space="preserve"> ΤΟ ΕΠΑΡΧΙΑΚΟ ΔΙΚΑΣΤΗΡΙΟ ΛΕΜΕΣΟΥ, ΣΤΗ ΒΑΣΗ </w:t>
      </w:r>
      <w:r w:rsidR="0086134F">
        <w:rPr>
          <w:rFonts w:ascii="Bookman Old Style" w:hAnsi="Bookman Old Style"/>
          <w:color w:val="000000"/>
          <w:sz w:val="28"/>
          <w:szCs w:val="28"/>
          <w:lang w:bidi="el-GR"/>
        </w:rPr>
        <w:t>ΤΗΣ</w:t>
      </w:r>
      <w:r>
        <w:rPr>
          <w:rFonts w:ascii="Bookman Old Style" w:hAnsi="Bookman Old Style"/>
          <w:color w:val="000000"/>
          <w:sz w:val="28"/>
          <w:szCs w:val="28"/>
          <w:lang w:bidi="el-GR"/>
        </w:rPr>
        <w:t xml:space="preserve"> ΕΝΟΡΚΗΣ ΔΗΛΩΣΗΣ ΤΟΥ Α/ΑΣΤ. 3428 Κ. ΧΑΡΑΛΑΜΠΟΥΣ, ΓΙΑ ΕΡΕΥΝΑ ΤΩΝ ΟΙΚΙΩΝ ΚΑΙ ΥΠΟΣΤΑΤΙΚΩΝ ΤΟΥ ΑΙΤΗΤΗ ΣΤΗ ΛΕΜΕΣΟ ΚΑΙ ΛΕΥΚΩΣΙΑ, ΑΛΛΑ ΚΑΙ ΟΧΗΜΑΤΩΝ ΤΟΥ, ΔΥΝΑΜΕΙ ΤΩΝ ΑΡΘΡΩΝ 27 ΚΑΙ 28 ΤΟΥ ΠΕΡΙ ΠΟΙΝΙΚΗΣ ΔΙΚΟΝΟΜΙΑΣ ΝΟΜΟΥ (ΚΕΦ. 155)</w:t>
      </w:r>
    </w:p>
    <w:p w14:paraId="08B603CA" w14:textId="77777777" w:rsidR="006872F4" w:rsidRDefault="006872F4" w:rsidP="00F13ADE">
      <w:pPr>
        <w:pStyle w:val="Bodytext20"/>
        <w:pBdr>
          <w:bottom w:val="single" w:sz="12" w:space="1" w:color="auto"/>
        </w:pBdr>
        <w:shd w:val="clear" w:color="auto" w:fill="auto"/>
        <w:spacing w:before="0" w:line="276" w:lineRule="auto"/>
        <w:ind w:right="-319"/>
        <w:rPr>
          <w:rFonts w:ascii="Bookman Old Style" w:hAnsi="Bookman Old Style"/>
          <w:color w:val="000000"/>
          <w:sz w:val="28"/>
          <w:szCs w:val="28"/>
          <w:lang w:bidi="el-GR"/>
        </w:rPr>
      </w:pPr>
    </w:p>
    <w:p w14:paraId="24DF84F6" w14:textId="78F64DBF" w:rsidR="004C29CA" w:rsidRDefault="004C29CA" w:rsidP="0000790C">
      <w:pPr>
        <w:ind w:right="-35"/>
        <w:rPr>
          <w:rFonts w:ascii="Bookman Old Style" w:hAnsi="Bookman Old Style" w:cs="Arial"/>
          <w:b/>
          <w:sz w:val="28"/>
          <w:szCs w:val="28"/>
          <w:lang w:val="el-GR"/>
        </w:rPr>
      </w:pPr>
    </w:p>
    <w:p w14:paraId="225E3645" w14:textId="479C2EDC" w:rsidR="004C29CA" w:rsidRDefault="00F13ADE" w:rsidP="006872F4">
      <w:pPr>
        <w:spacing w:line="276" w:lineRule="auto"/>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lastRenderedPageBreak/>
        <w:t xml:space="preserve"> Α. Χρίστου με Μ. </w:t>
      </w:r>
      <w:proofErr w:type="spellStart"/>
      <w:r>
        <w:rPr>
          <w:rFonts w:ascii="Bookman Old Style" w:hAnsi="Bookman Old Style" w:cs="Arial"/>
          <w:i/>
          <w:iCs/>
          <w:sz w:val="28"/>
          <w:szCs w:val="28"/>
          <w:lang w:val="el-GR"/>
        </w:rPr>
        <w:t>Καζάκο</w:t>
      </w:r>
      <w:proofErr w:type="spellEnd"/>
      <w:r>
        <w:rPr>
          <w:rFonts w:ascii="Bookman Old Style" w:hAnsi="Bookman Old Style" w:cs="Arial"/>
          <w:i/>
          <w:iCs/>
          <w:sz w:val="28"/>
          <w:szCs w:val="28"/>
          <w:lang w:val="el-GR"/>
        </w:rPr>
        <w:t xml:space="preserve"> και Ν. </w:t>
      </w:r>
      <w:proofErr w:type="spellStart"/>
      <w:r>
        <w:rPr>
          <w:rFonts w:ascii="Bookman Old Style" w:hAnsi="Bookman Old Style" w:cs="Arial"/>
          <w:i/>
          <w:iCs/>
          <w:sz w:val="28"/>
          <w:szCs w:val="28"/>
          <w:lang w:val="el-GR"/>
        </w:rPr>
        <w:t>Ζένιο</w:t>
      </w:r>
      <w:r w:rsidR="00585F8A">
        <w:rPr>
          <w:rFonts w:ascii="Bookman Old Style" w:hAnsi="Bookman Old Style" w:cs="Arial"/>
          <w:i/>
          <w:iCs/>
          <w:sz w:val="28"/>
          <w:szCs w:val="28"/>
          <w:lang w:val="el-GR"/>
        </w:rPr>
        <w:t>υ</w:t>
      </w:r>
      <w:proofErr w:type="spellEnd"/>
      <w:r w:rsidR="005B2486">
        <w:rPr>
          <w:rFonts w:ascii="Bookman Old Style" w:hAnsi="Bookman Old Style" w:cs="Arial"/>
          <w:i/>
          <w:iCs/>
          <w:sz w:val="28"/>
          <w:szCs w:val="28"/>
          <w:lang w:val="el-GR"/>
        </w:rPr>
        <w:t>,</w:t>
      </w:r>
      <w:r w:rsidR="00091FB0">
        <w:rPr>
          <w:rFonts w:ascii="Bookman Old Style" w:hAnsi="Bookman Old Style" w:cs="Arial"/>
          <w:i/>
          <w:iCs/>
          <w:sz w:val="28"/>
          <w:szCs w:val="28"/>
          <w:lang w:val="el-GR"/>
        </w:rPr>
        <w:t xml:space="preserve"> για Α. Χρίστου &amp; Συνεργάτες ΔΕΠΕ,</w:t>
      </w:r>
      <w:r w:rsidR="005B2486">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Pr>
          <w:rFonts w:ascii="Bookman Old Style" w:hAnsi="Bookman Old Style" w:cs="Arial"/>
          <w:iCs/>
          <w:sz w:val="28"/>
          <w:szCs w:val="28"/>
          <w:lang w:val="el-GR"/>
        </w:rPr>
        <w:t>ν</w:t>
      </w:r>
      <w:r w:rsidR="004C29CA" w:rsidRPr="007A0D8E">
        <w:rPr>
          <w:rFonts w:ascii="Bookman Old Style" w:hAnsi="Bookman Old Style" w:cs="Arial"/>
          <w:iCs/>
          <w:sz w:val="28"/>
          <w:szCs w:val="28"/>
          <w:lang w:val="el-GR"/>
        </w:rPr>
        <w:t xml:space="preserve"> Αιτητ</w:t>
      </w:r>
      <w:r>
        <w:rPr>
          <w:rFonts w:ascii="Bookman Old Style" w:hAnsi="Bookman Old Style" w:cs="Arial"/>
          <w:iCs/>
          <w:sz w:val="28"/>
          <w:szCs w:val="28"/>
          <w:lang w:val="el-GR"/>
        </w:rPr>
        <w:t>ή</w:t>
      </w:r>
      <w:r w:rsidR="004C29CA" w:rsidRPr="007A0D8E">
        <w:rPr>
          <w:rFonts w:ascii="Bookman Old Style" w:hAnsi="Bookman Old Style" w:cs="Arial"/>
          <w:iCs/>
          <w:sz w:val="28"/>
          <w:szCs w:val="28"/>
          <w:lang w:val="el-GR"/>
        </w:rPr>
        <w:t>.</w:t>
      </w:r>
    </w:p>
    <w:p w14:paraId="51004A13" w14:textId="77777777" w:rsidR="00F13ADE" w:rsidRDefault="00F13ADE" w:rsidP="006872F4">
      <w:pPr>
        <w:spacing w:line="276" w:lineRule="auto"/>
        <w:ind w:left="397" w:right="-35" w:hanging="113"/>
        <w:jc w:val="both"/>
        <w:rPr>
          <w:rFonts w:ascii="Bookman Old Style" w:hAnsi="Bookman Old Style" w:cs="Arial"/>
          <w:iCs/>
          <w:sz w:val="28"/>
          <w:szCs w:val="28"/>
          <w:lang w:val="el-GR"/>
        </w:rPr>
      </w:pPr>
    </w:p>
    <w:p w14:paraId="48A99FC4" w14:textId="4914331F" w:rsidR="00F13ADE" w:rsidRDefault="00F13ADE" w:rsidP="006872F4">
      <w:pPr>
        <w:pBdr>
          <w:bottom w:val="single" w:sz="12" w:space="1" w:color="auto"/>
        </w:pBdr>
        <w:spacing w:line="276" w:lineRule="auto"/>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Μ. Μασούρα (κα),</w:t>
      </w:r>
      <w:r>
        <w:rPr>
          <w:rFonts w:ascii="Bookman Old Style" w:hAnsi="Bookman Old Style" w:cs="Arial"/>
          <w:iCs/>
          <w:sz w:val="28"/>
          <w:szCs w:val="28"/>
          <w:lang w:val="el-GR"/>
        </w:rPr>
        <w:t xml:space="preserve"> Δικηγόρος </w:t>
      </w:r>
      <w:r w:rsidR="0086134F">
        <w:rPr>
          <w:rFonts w:ascii="Bookman Old Style" w:hAnsi="Bookman Old Style" w:cs="Arial"/>
          <w:iCs/>
          <w:sz w:val="28"/>
          <w:szCs w:val="28"/>
          <w:lang w:val="el-GR"/>
        </w:rPr>
        <w:t>της</w:t>
      </w:r>
      <w:r>
        <w:rPr>
          <w:rFonts w:ascii="Bookman Old Style" w:hAnsi="Bookman Old Style" w:cs="Arial"/>
          <w:iCs/>
          <w:sz w:val="28"/>
          <w:szCs w:val="28"/>
          <w:lang w:val="el-GR"/>
        </w:rPr>
        <w:t xml:space="preserve"> Δημοκρατίας, εκ μέρους του Γενικού Εισαγγελέα</w:t>
      </w:r>
      <w:r w:rsidR="0086134F">
        <w:rPr>
          <w:rFonts w:ascii="Bookman Old Style" w:hAnsi="Bookman Old Style" w:cs="Arial"/>
          <w:iCs/>
          <w:sz w:val="28"/>
          <w:szCs w:val="28"/>
          <w:lang w:val="el-GR"/>
        </w:rPr>
        <w:t xml:space="preserve"> της Δημοκρατίας,</w:t>
      </w:r>
      <w:r>
        <w:rPr>
          <w:rFonts w:ascii="Bookman Old Style" w:hAnsi="Bookman Old Style" w:cs="Arial"/>
          <w:iCs/>
          <w:sz w:val="28"/>
          <w:szCs w:val="28"/>
          <w:lang w:val="el-GR"/>
        </w:rPr>
        <w:t xml:space="preserve"> για </w:t>
      </w:r>
      <w:r w:rsidR="0021248D">
        <w:rPr>
          <w:rFonts w:ascii="Bookman Old Style" w:hAnsi="Bookman Old Style" w:cs="Arial"/>
          <w:iCs/>
          <w:sz w:val="28"/>
          <w:szCs w:val="28"/>
          <w:lang w:val="el-GR"/>
        </w:rPr>
        <w:t>τ</w:t>
      </w:r>
      <w:r w:rsidR="0086134F">
        <w:rPr>
          <w:rFonts w:ascii="Bookman Old Style" w:hAnsi="Bookman Old Style" w:cs="Arial"/>
          <w:iCs/>
          <w:sz w:val="28"/>
          <w:szCs w:val="28"/>
          <w:lang w:val="el-GR"/>
        </w:rPr>
        <w:t>η Δημοκρατία</w:t>
      </w:r>
      <w:r>
        <w:rPr>
          <w:rFonts w:ascii="Bookman Old Style" w:hAnsi="Bookman Old Style" w:cs="Arial"/>
          <w:iCs/>
          <w:sz w:val="28"/>
          <w:szCs w:val="28"/>
          <w:lang w:val="el-GR"/>
        </w:rPr>
        <w:t>.</w:t>
      </w:r>
    </w:p>
    <w:p w14:paraId="0DFB7266" w14:textId="77777777" w:rsidR="006872F4" w:rsidRDefault="006872F4" w:rsidP="006872F4">
      <w:pPr>
        <w:pBdr>
          <w:bottom w:val="single" w:sz="12" w:space="1" w:color="auto"/>
        </w:pBdr>
        <w:spacing w:line="276" w:lineRule="auto"/>
        <w:ind w:left="397" w:right="-35" w:hanging="113"/>
        <w:jc w:val="both"/>
        <w:rPr>
          <w:rFonts w:ascii="Bookman Old Style" w:hAnsi="Bookman Old Style" w:cs="Arial"/>
          <w:iCs/>
          <w:sz w:val="28"/>
          <w:szCs w:val="28"/>
          <w:lang w:val="el-GR"/>
        </w:rPr>
      </w:pPr>
    </w:p>
    <w:p w14:paraId="3DE910DF" w14:textId="77777777" w:rsidR="006872F4" w:rsidRPr="00C13761" w:rsidRDefault="006872F4" w:rsidP="006872F4">
      <w:pPr>
        <w:spacing w:line="276" w:lineRule="auto"/>
        <w:ind w:left="397" w:right="-35" w:hanging="113"/>
        <w:jc w:val="both"/>
        <w:rPr>
          <w:rFonts w:ascii="Bookman Old Style" w:hAnsi="Bookman Old Style" w:cs="Arial"/>
          <w:iCs/>
          <w:sz w:val="28"/>
          <w:szCs w:val="28"/>
          <w:u w:val="thick"/>
          <w:lang w:val="el-GR"/>
        </w:rPr>
      </w:pPr>
    </w:p>
    <w:p w14:paraId="5080FDCF" w14:textId="77777777" w:rsidR="004C29CA" w:rsidRPr="00B07023" w:rsidRDefault="004C29CA" w:rsidP="00DF7FC9">
      <w:pPr>
        <w:spacing w:line="360" w:lineRule="auto"/>
        <w:ind w:left="3402" w:right="-35"/>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645491A0" w:rsidR="004C29CA" w:rsidRDefault="0086134F" w:rsidP="00DF7FC9">
      <w:pPr>
        <w:tabs>
          <w:tab w:val="left" w:pos="624"/>
        </w:tabs>
        <w:ind w:left="681" w:right="-35" w:firstLine="2580"/>
        <w:rPr>
          <w:rFonts w:ascii="Bookman Old Style" w:hAnsi="Bookman Old Style" w:cs="Arial"/>
          <w:b/>
          <w:bCs/>
          <w:sz w:val="28"/>
          <w:szCs w:val="28"/>
          <w:lang w:val="el-GR"/>
        </w:rPr>
      </w:pPr>
      <w:r>
        <w:rPr>
          <w:rFonts w:ascii="Bookman Old Style" w:hAnsi="Bookman Old Style" w:cs="Arial"/>
          <w:b/>
          <w:bCs/>
          <w:sz w:val="28"/>
          <w:szCs w:val="28"/>
          <w:lang w:val="el-GR"/>
        </w:rPr>
        <w:t>(Δοθείσα Αυθημερόν)</w:t>
      </w:r>
    </w:p>
    <w:p w14:paraId="312AADAB" w14:textId="77777777" w:rsidR="0008462C" w:rsidRDefault="0008462C" w:rsidP="0000790C">
      <w:pPr>
        <w:tabs>
          <w:tab w:val="left" w:pos="624"/>
        </w:tabs>
        <w:ind w:left="681" w:right="-35" w:hanging="397"/>
        <w:jc w:val="both"/>
        <w:rPr>
          <w:rFonts w:ascii="Bookman Old Style" w:hAnsi="Bookman Old Style" w:cs="Arial"/>
          <w:b/>
          <w:bCs/>
          <w:sz w:val="28"/>
          <w:szCs w:val="28"/>
          <w:lang w:val="el-GR"/>
        </w:rPr>
      </w:pPr>
    </w:p>
    <w:p w14:paraId="1EF0BA16" w14:textId="77777777" w:rsidR="0086134F" w:rsidRPr="007A0D8E" w:rsidRDefault="0086134F" w:rsidP="0000790C">
      <w:pPr>
        <w:tabs>
          <w:tab w:val="left" w:pos="624"/>
        </w:tabs>
        <w:ind w:left="681" w:right="-35" w:hanging="397"/>
        <w:jc w:val="both"/>
        <w:rPr>
          <w:rFonts w:ascii="Bookman Old Style" w:hAnsi="Bookman Old Style" w:cs="Arial"/>
          <w:b/>
          <w:bCs/>
          <w:sz w:val="28"/>
          <w:szCs w:val="28"/>
          <w:lang w:val="el-GR"/>
        </w:rPr>
      </w:pPr>
    </w:p>
    <w:p w14:paraId="57FA7790" w14:textId="485175F9" w:rsidR="000B3A75" w:rsidRDefault="006872F4"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Λ.</w:t>
      </w:r>
      <w:r w:rsidR="00111117">
        <w:rPr>
          <w:rFonts w:ascii="Bookman Old Style" w:hAnsi="Bookman Old Style" w:cs="Arial"/>
          <w:b/>
          <w:sz w:val="28"/>
          <w:szCs w:val="28"/>
          <w:lang w:val="el-GR"/>
        </w:rPr>
        <w:t xml:space="preserve">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0B3A75">
        <w:rPr>
          <w:rFonts w:ascii="Bookman Old Style" w:hAnsi="Bookman Old Style" w:cs="Arial"/>
          <w:sz w:val="28"/>
          <w:szCs w:val="28"/>
          <w:lang w:val="el-GR"/>
        </w:rPr>
        <w:t>Κατόπιν μονομερούς Αίτησης του Αιτητή στην Πολιτική Αίτηση με αρ. 105/2023</w:t>
      </w:r>
      <w:r w:rsidR="000B3A75" w:rsidRPr="000B3A75">
        <w:rPr>
          <w:rFonts w:ascii="Bookman Old Style" w:hAnsi="Bookman Old Style" w:cs="Arial"/>
          <w:sz w:val="28"/>
          <w:szCs w:val="28"/>
          <w:lang w:val="el-GR"/>
        </w:rPr>
        <w:t xml:space="preserve"> (</w:t>
      </w:r>
      <w:r w:rsidR="000B3A75">
        <w:rPr>
          <w:rFonts w:ascii="Bookman Old Style" w:hAnsi="Bookman Old Style" w:cs="Arial"/>
          <w:sz w:val="28"/>
          <w:szCs w:val="28"/>
          <w:lang w:val="en-US"/>
        </w:rPr>
        <w:t>i</w:t>
      </w:r>
      <w:r w:rsidR="000B3A75" w:rsidRPr="000B3A75">
        <w:rPr>
          <w:rFonts w:ascii="Bookman Old Style" w:hAnsi="Bookman Old Style" w:cs="Arial"/>
          <w:sz w:val="28"/>
          <w:szCs w:val="28"/>
          <w:lang w:val="el-GR"/>
        </w:rPr>
        <w:t>-</w:t>
      </w:r>
      <w:r w:rsidR="000B3A75">
        <w:rPr>
          <w:rFonts w:ascii="Bookman Old Style" w:hAnsi="Bookman Old Style" w:cs="Arial"/>
          <w:sz w:val="28"/>
          <w:szCs w:val="28"/>
          <w:lang w:val="en-US"/>
        </w:rPr>
        <w:t>justice</w:t>
      </w:r>
      <w:r w:rsidR="000B3A75">
        <w:rPr>
          <w:rFonts w:ascii="Bookman Old Style" w:hAnsi="Bookman Old Style" w:cs="Arial"/>
          <w:sz w:val="28"/>
          <w:szCs w:val="28"/>
          <w:lang w:val="el-GR"/>
        </w:rPr>
        <w:t>), παραχώρησα στις 12/9/2023 άδεια στον Αιτητή για να καταχωρίσει αίτηση δια κλήσεως προς το σκοπό έκδοσης Προνομιακού Εντάλματος</w:t>
      </w:r>
      <w:r w:rsidR="000B3A75" w:rsidRPr="000B3A75">
        <w:rPr>
          <w:rFonts w:ascii="Bookman Old Style" w:hAnsi="Bookman Old Style" w:cs="Arial"/>
          <w:sz w:val="28"/>
          <w:szCs w:val="28"/>
          <w:lang w:val="el-GR"/>
        </w:rPr>
        <w:t xml:space="preserve"> </w:t>
      </w:r>
      <w:r w:rsidR="000B3A75" w:rsidRPr="000B3A75">
        <w:rPr>
          <w:rFonts w:ascii="Bookman Old Style" w:hAnsi="Bookman Old Style" w:cs="Arial"/>
          <w:i/>
          <w:iCs/>
          <w:sz w:val="28"/>
          <w:szCs w:val="28"/>
          <w:lang w:val="en-US"/>
        </w:rPr>
        <w:t>Certiorari</w:t>
      </w:r>
      <w:r w:rsidR="000B3A75">
        <w:rPr>
          <w:rFonts w:ascii="Bookman Old Style" w:hAnsi="Bookman Old Style" w:cs="Arial"/>
          <w:sz w:val="28"/>
          <w:szCs w:val="28"/>
          <w:lang w:val="el-GR"/>
        </w:rPr>
        <w:t xml:space="preserve"> σε σχέση με Ένταλμα Έρευνας που εξεδόθη στις 25/8/2023 από κατώτερο Δικαστήριο (Επαρχιακό Δικαστήριο Λεμεσού). </w:t>
      </w:r>
    </w:p>
    <w:p w14:paraId="5C566D37" w14:textId="77777777" w:rsidR="000B3A75" w:rsidRDefault="000B3A75" w:rsidP="0000790C">
      <w:pPr>
        <w:spacing w:line="480" w:lineRule="auto"/>
        <w:ind w:right="-35"/>
        <w:jc w:val="both"/>
        <w:rPr>
          <w:rFonts w:ascii="Bookman Old Style" w:hAnsi="Bookman Old Style" w:cs="Arial"/>
          <w:sz w:val="28"/>
          <w:szCs w:val="28"/>
          <w:lang w:val="el-GR"/>
        </w:rPr>
      </w:pPr>
    </w:p>
    <w:p w14:paraId="4D5538E2" w14:textId="6039B2CE" w:rsidR="005768FF" w:rsidRDefault="000B3A75"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άδεια δόθηκε αφού βρήκα πως υπήρχε συζητήσιμο θέμα σε σχέση με το κατά πόσο στη βάση του συγκεκριμένου μαρτυρικού υλικού που είχε τεθεί ενώπιον του κατώτερου Δικαστηρίου, αυτό θα μπορούσε να είχε ικανοποιηθεί ότι «</w:t>
      </w:r>
      <w:r>
        <w:rPr>
          <w:rFonts w:ascii="Bookman Old Style" w:hAnsi="Bookman Old Style" w:cs="Arial"/>
          <w:i/>
          <w:iCs/>
          <w:sz w:val="28"/>
          <w:szCs w:val="28"/>
          <w:lang w:val="el-GR"/>
        </w:rPr>
        <w:t>υπάρχουν εύλογες υποψίες ότι τα ως άνω αναφερόμενα αναζητούμενα τεκμήρια</w:t>
      </w:r>
      <w:r>
        <w:rPr>
          <w:rFonts w:ascii="Bookman Old Style" w:hAnsi="Bookman Old Style" w:cs="Arial"/>
          <w:sz w:val="28"/>
          <w:szCs w:val="28"/>
          <w:lang w:val="el-GR"/>
        </w:rPr>
        <w:t xml:space="preserve">», ήτοι ελεγχόμενο φάρμακο Τάξης Β, βρίσκονται στην οικία, υποστατικά και οχήματα που αφορούσε η περίπτωση. Όσον αφορά το μαρτυρικό υλικό που χρησιμοποιήθηκε για σκοπούς έκδοσης </w:t>
      </w:r>
      <w:r>
        <w:rPr>
          <w:rFonts w:ascii="Bookman Old Style" w:hAnsi="Bookman Old Style" w:cs="Arial"/>
          <w:sz w:val="28"/>
          <w:szCs w:val="28"/>
          <w:lang w:val="el-GR"/>
        </w:rPr>
        <w:lastRenderedPageBreak/>
        <w:t>του αιτούμενου εντάλματος έρευνας (Ένορκη Δήλωση του Α/</w:t>
      </w:r>
      <w:proofErr w:type="spellStart"/>
      <w:r>
        <w:rPr>
          <w:rFonts w:ascii="Bookman Old Style" w:hAnsi="Bookman Old Style" w:cs="Arial"/>
          <w:sz w:val="28"/>
          <w:szCs w:val="28"/>
          <w:lang w:val="el-GR"/>
        </w:rPr>
        <w:t>Αστ</w:t>
      </w:r>
      <w:proofErr w:type="spellEnd"/>
      <w:r>
        <w:rPr>
          <w:rFonts w:ascii="Bookman Old Style" w:hAnsi="Bookman Old Style" w:cs="Arial"/>
          <w:sz w:val="28"/>
          <w:szCs w:val="28"/>
          <w:lang w:val="el-GR"/>
        </w:rPr>
        <w:t>. 3428            Κ. Χαραλάμπους), είχα σημειώσει τα ακόλουθα:</w:t>
      </w:r>
    </w:p>
    <w:p w14:paraId="6F7345F3" w14:textId="77777777" w:rsidR="000B3A75" w:rsidRDefault="000B3A75" w:rsidP="0000790C">
      <w:pPr>
        <w:spacing w:line="480" w:lineRule="auto"/>
        <w:ind w:right="-35"/>
        <w:jc w:val="both"/>
        <w:rPr>
          <w:rFonts w:ascii="Bookman Old Style" w:hAnsi="Bookman Old Style" w:cs="Arial"/>
          <w:sz w:val="28"/>
          <w:szCs w:val="28"/>
          <w:lang w:val="el-GR"/>
        </w:rPr>
      </w:pPr>
    </w:p>
    <w:p w14:paraId="0D1D63A4" w14:textId="77777777" w:rsidR="00D94A13" w:rsidRPr="00D94A13" w:rsidRDefault="000B3A75" w:rsidP="00D94A13">
      <w:pPr>
        <w:spacing w:line="276" w:lineRule="auto"/>
        <w:ind w:left="426" w:right="390"/>
        <w:jc w:val="both"/>
        <w:rPr>
          <w:rFonts w:ascii="Bookman Old Style" w:hAnsi="Bookman Old Style"/>
          <w:sz w:val="26"/>
          <w:szCs w:val="26"/>
          <w:lang w:val="el-GR"/>
        </w:rPr>
      </w:pPr>
      <w:r w:rsidRPr="00D94A13">
        <w:rPr>
          <w:rFonts w:ascii="Bookman Old Style" w:hAnsi="Bookman Old Style" w:cs="Arial"/>
          <w:sz w:val="26"/>
          <w:szCs w:val="26"/>
          <w:lang w:val="el-GR"/>
        </w:rPr>
        <w:t>«</w:t>
      </w:r>
      <w:r w:rsidR="00D94A13" w:rsidRPr="00D94A13">
        <w:rPr>
          <w:rFonts w:ascii="Bookman Old Style" w:hAnsi="Bookman Old Style"/>
          <w:sz w:val="26"/>
          <w:szCs w:val="26"/>
          <w:lang w:val="el-GR"/>
        </w:rPr>
        <w:t xml:space="preserve">Όσον αφορά στο νομικό λόγο που αναφέρεται στη μη αποκάλυψη της πηγής γνώσης του πληροφοριοδότη και της μη παράθεσης στοιχείων που να οδηγούν στα καταληκτικά συμπεράσματα πέραν της γενικής αναφοράς σε προηγούμενη συνεργασία με τον πληροφοριοδότη η οποία είχε θετικό αποτέλεσμα, σχετική είναι και η υπόθεση στην </w:t>
      </w:r>
      <w:r w:rsidR="00D94A13" w:rsidRPr="00D94A13">
        <w:rPr>
          <w:rFonts w:ascii="Bookman Old Style" w:hAnsi="Bookman Old Style"/>
          <w:b/>
          <w:bCs/>
          <w:i/>
          <w:iCs/>
          <w:sz w:val="26"/>
          <w:szCs w:val="26"/>
          <w:lang w:val="el-GR"/>
        </w:rPr>
        <w:t xml:space="preserve">Αίτηση του Ι. Παύλου, Πολιτική Αίτηση Αρ. 114/2020, </w:t>
      </w:r>
      <w:proofErr w:type="spellStart"/>
      <w:r w:rsidR="00D94A13" w:rsidRPr="00D94A13">
        <w:rPr>
          <w:rFonts w:ascii="Bookman Old Style" w:hAnsi="Bookman Old Style"/>
          <w:b/>
          <w:bCs/>
          <w:i/>
          <w:iCs/>
          <w:sz w:val="26"/>
          <w:szCs w:val="26"/>
          <w:lang w:val="el-GR"/>
        </w:rPr>
        <w:t>ημερ</w:t>
      </w:r>
      <w:proofErr w:type="spellEnd"/>
      <w:r w:rsidR="00D94A13" w:rsidRPr="00D94A13">
        <w:rPr>
          <w:rFonts w:ascii="Bookman Old Style" w:hAnsi="Bookman Old Style"/>
          <w:b/>
          <w:bCs/>
          <w:i/>
          <w:iCs/>
          <w:sz w:val="26"/>
          <w:szCs w:val="26"/>
          <w:lang w:val="el-GR"/>
        </w:rPr>
        <w:t>. 20/10/2020</w:t>
      </w:r>
      <w:r w:rsidR="00D94A13" w:rsidRPr="00D94A13">
        <w:rPr>
          <w:rFonts w:ascii="Bookman Old Style" w:hAnsi="Bookman Old Style"/>
          <w:sz w:val="26"/>
          <w:szCs w:val="26"/>
          <w:lang w:val="el-GR"/>
        </w:rPr>
        <w:t>,</w:t>
      </w:r>
      <w:r w:rsidR="00D94A13" w:rsidRPr="00D94A13">
        <w:rPr>
          <w:rFonts w:ascii="Bookman Old Style" w:hAnsi="Bookman Old Style"/>
          <w:b/>
          <w:bCs/>
          <w:i/>
          <w:iCs/>
          <w:sz w:val="26"/>
          <w:szCs w:val="26"/>
          <w:lang w:val="el-GR"/>
        </w:rPr>
        <w:t xml:space="preserve"> </w:t>
      </w:r>
      <w:r w:rsidR="00D94A13" w:rsidRPr="00D94A13">
        <w:rPr>
          <w:rFonts w:ascii="Bookman Old Style" w:hAnsi="Bookman Old Style"/>
          <w:sz w:val="26"/>
          <w:szCs w:val="26"/>
          <w:lang w:val="el-GR"/>
        </w:rPr>
        <w:t>όπου λέχθηκαν  τα ακόλουθα:</w:t>
      </w:r>
    </w:p>
    <w:p w14:paraId="3B84526F" w14:textId="77777777" w:rsidR="00D94A13" w:rsidRPr="0014054B" w:rsidRDefault="00D94A13" w:rsidP="00D94A13">
      <w:pPr>
        <w:spacing w:line="480" w:lineRule="auto"/>
        <w:jc w:val="both"/>
        <w:rPr>
          <w:rFonts w:ascii="Bookman Old Style" w:hAnsi="Bookman Old Style"/>
          <w:lang w:val="el-GR"/>
        </w:rPr>
      </w:pPr>
    </w:p>
    <w:p w14:paraId="5E5B4D94" w14:textId="77777777" w:rsidR="00D94A13" w:rsidRPr="0014054B" w:rsidRDefault="00D94A13" w:rsidP="00D94A13">
      <w:pPr>
        <w:spacing w:line="276" w:lineRule="auto"/>
        <w:ind w:left="709" w:right="674"/>
        <w:jc w:val="both"/>
        <w:rPr>
          <w:rFonts w:ascii="Bookman Old Style" w:hAnsi="Bookman Old Style"/>
          <w:i/>
          <w:iCs/>
          <w:sz w:val="26"/>
          <w:szCs w:val="26"/>
          <w:lang w:val="el-GR"/>
        </w:rPr>
      </w:pPr>
      <w:r>
        <w:rPr>
          <w:rFonts w:ascii="Bookman Old Style" w:hAnsi="Bookman Old Style" w:cs="Arial"/>
          <w:color w:val="000000"/>
          <w:sz w:val="26"/>
          <w:szCs w:val="26"/>
          <w:lang w:val="el-GR"/>
        </w:rPr>
        <w:t>«</w:t>
      </w:r>
      <w:r>
        <w:rPr>
          <w:rFonts w:ascii="Bookman Old Style" w:hAnsi="Bookman Old Style" w:cs="Arial"/>
          <w:i/>
          <w:iCs/>
          <w:color w:val="000000"/>
          <w:sz w:val="26"/>
          <w:szCs w:val="26"/>
          <w:lang w:val="el-GR"/>
        </w:rPr>
        <w:t xml:space="preserve">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w:t>
      </w:r>
      <w:proofErr w:type="spellStart"/>
      <w:r>
        <w:rPr>
          <w:rFonts w:ascii="Bookman Old Style" w:hAnsi="Bookman Old Style" w:cs="Arial"/>
          <w:i/>
          <w:iCs/>
          <w:color w:val="000000"/>
          <w:sz w:val="26"/>
          <w:szCs w:val="26"/>
          <w:lang w:val="el-GR"/>
        </w:rPr>
        <w:t>ποίον</w:t>
      </w:r>
      <w:proofErr w:type="spellEnd"/>
      <w:r>
        <w:rPr>
          <w:rFonts w:ascii="Bookman Old Style" w:hAnsi="Bookman Old Style" w:cs="Arial"/>
          <w:i/>
          <w:iCs/>
          <w:color w:val="000000"/>
          <w:sz w:val="26"/>
          <w:szCs w:val="26"/>
          <w:lang w:val="el-GR"/>
        </w:rPr>
        <w:t xml:space="preserve"> τρόπο η πληροφορία οδήγησε στα καταληκτικά συμπεράσματα. Στην πράξη, επί του όρκου, μόνο συμπεράσματα καταγράφονται.  </w:t>
      </w:r>
    </w:p>
    <w:p w14:paraId="6FBC1E20" w14:textId="77777777" w:rsidR="00D94A13" w:rsidRPr="0014054B" w:rsidRDefault="00D94A13" w:rsidP="00D94A13">
      <w:pPr>
        <w:spacing w:line="276" w:lineRule="auto"/>
        <w:ind w:left="709" w:right="674"/>
        <w:jc w:val="both"/>
        <w:rPr>
          <w:rFonts w:ascii="Bookman Old Style" w:hAnsi="Bookman Old Style"/>
          <w:i/>
          <w:iCs/>
          <w:sz w:val="26"/>
          <w:szCs w:val="26"/>
          <w:lang w:val="el-GR"/>
        </w:rPr>
      </w:pPr>
      <w:r>
        <w:rPr>
          <w:rFonts w:ascii="Bookman Old Style" w:hAnsi="Bookman Old Style" w:cs="Arial"/>
          <w:i/>
          <w:iCs/>
          <w:color w:val="000000"/>
          <w:sz w:val="26"/>
          <w:szCs w:val="26"/>
          <w:lang w:val="el-GR"/>
        </w:rPr>
        <w:t> </w:t>
      </w:r>
    </w:p>
    <w:p w14:paraId="1EDC9907" w14:textId="77777777" w:rsidR="00D94A13" w:rsidRPr="0014054B" w:rsidRDefault="00D94A13" w:rsidP="00D94A13">
      <w:pPr>
        <w:spacing w:line="276" w:lineRule="auto"/>
        <w:ind w:left="709" w:right="674"/>
        <w:jc w:val="both"/>
        <w:rPr>
          <w:rFonts w:ascii="Bookman Old Style" w:hAnsi="Bookman Old Style"/>
          <w:sz w:val="26"/>
          <w:szCs w:val="26"/>
          <w:lang w:val="el-GR"/>
        </w:rPr>
      </w:pPr>
      <w:r>
        <w:rPr>
          <w:rFonts w:ascii="Bookman Old Style" w:hAnsi="Bookman Old Style" w:cs="Arial"/>
          <w:i/>
          <w:iCs/>
          <w:color w:val="000000"/>
          <w:sz w:val="26"/>
          <w:szCs w:val="26"/>
          <w:lang w:val="el-GR"/>
        </w:rPr>
        <w:t xml:space="preserve">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14054B">
        <w:rPr>
          <w:rFonts w:ascii="Bookman Old Style" w:hAnsi="Bookman Old Style" w:cs="Arial"/>
          <w:i/>
          <w:iCs/>
          <w:color w:val="000000"/>
          <w:sz w:val="26"/>
          <w:szCs w:val="26"/>
        </w:rPr>
        <w:t>(</w:t>
      </w:r>
      <w:proofErr w:type="spellStart"/>
      <w:r>
        <w:rPr>
          <w:rFonts w:ascii="Bookman Old Style" w:hAnsi="Bookman Old Style" w:cs="Arial"/>
          <w:i/>
          <w:iCs/>
          <w:color w:val="000000"/>
          <w:sz w:val="26"/>
          <w:szCs w:val="26"/>
          <w:lang w:val="el-GR"/>
        </w:rPr>
        <w:t>Βλ</w:t>
      </w:r>
      <w:proofErr w:type="spellEnd"/>
      <w:r w:rsidRPr="0014054B">
        <w:rPr>
          <w:rFonts w:ascii="Bookman Old Style" w:hAnsi="Bookman Old Style" w:cs="Arial"/>
          <w:i/>
          <w:iCs/>
          <w:color w:val="000000"/>
          <w:sz w:val="26"/>
          <w:szCs w:val="26"/>
        </w:rPr>
        <w:t xml:space="preserve">. </w:t>
      </w:r>
      <w:r>
        <w:rPr>
          <w:rFonts w:ascii="Bookman Old Style" w:hAnsi="Bookman Old Style" w:cs="Arial"/>
          <w:b/>
          <w:bCs/>
          <w:i/>
          <w:iCs/>
          <w:color w:val="000000"/>
          <w:sz w:val="26"/>
          <w:szCs w:val="26"/>
          <w:lang w:val="en-US"/>
        </w:rPr>
        <w:t>C</w:t>
      </w:r>
      <w:r w:rsidRPr="0014054B">
        <w:rPr>
          <w:rFonts w:ascii="Bookman Old Style" w:hAnsi="Bookman Old Style" w:cs="Arial"/>
          <w:b/>
          <w:bCs/>
          <w:i/>
          <w:iCs/>
          <w:color w:val="000000"/>
          <w:sz w:val="26"/>
          <w:szCs w:val="26"/>
        </w:rPr>
        <w:t>.</w:t>
      </w:r>
      <w:r>
        <w:rPr>
          <w:rFonts w:ascii="Bookman Old Style" w:hAnsi="Bookman Old Style" w:cs="Arial"/>
          <w:b/>
          <w:bCs/>
          <w:i/>
          <w:iCs/>
          <w:color w:val="000000"/>
          <w:sz w:val="26"/>
          <w:szCs w:val="26"/>
          <w:lang w:val="en-US"/>
        </w:rPr>
        <w:t>P</w:t>
      </w:r>
      <w:r w:rsidRPr="0014054B">
        <w:rPr>
          <w:rFonts w:ascii="Bookman Old Style" w:hAnsi="Bookman Old Style" w:cs="Arial"/>
          <w:b/>
          <w:bCs/>
          <w:i/>
          <w:iCs/>
          <w:color w:val="000000"/>
          <w:sz w:val="26"/>
          <w:szCs w:val="26"/>
        </w:rPr>
        <w:t>.</w:t>
      </w:r>
      <w:r>
        <w:rPr>
          <w:rFonts w:ascii="Bookman Old Style" w:hAnsi="Bookman Old Style" w:cs="Arial"/>
          <w:b/>
          <w:bCs/>
          <w:i/>
          <w:iCs/>
          <w:color w:val="000000"/>
          <w:sz w:val="26"/>
          <w:szCs w:val="26"/>
          <w:lang w:val="en-US"/>
        </w:rPr>
        <w:t>S</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n-US"/>
        </w:rPr>
        <w:t>Freight</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n-US"/>
        </w:rPr>
        <w:t>Services</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n-US"/>
        </w:rPr>
        <w:t>Ltd</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n-US"/>
        </w:rPr>
        <w:t>v</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l-GR"/>
        </w:rPr>
        <w:t>Γεν</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l-GR"/>
        </w:rPr>
        <w:t>Εισαγγελέα</w:t>
      </w:r>
      <w:r w:rsidRPr="0014054B">
        <w:rPr>
          <w:rFonts w:ascii="Bookman Old Style" w:hAnsi="Bookman Old Style" w:cs="Arial"/>
          <w:b/>
          <w:bCs/>
          <w:i/>
          <w:iCs/>
          <w:color w:val="000000"/>
          <w:sz w:val="26"/>
          <w:szCs w:val="26"/>
        </w:rPr>
        <w:t xml:space="preserve">, </w:t>
      </w:r>
      <w:r>
        <w:rPr>
          <w:rFonts w:ascii="Bookman Old Style" w:hAnsi="Bookman Old Style" w:cs="Arial"/>
          <w:b/>
          <w:bCs/>
          <w:i/>
          <w:iCs/>
          <w:color w:val="000000"/>
          <w:sz w:val="26"/>
          <w:szCs w:val="26"/>
          <w:lang w:val="el-GR"/>
        </w:rPr>
        <w:t>Πολ</w:t>
      </w:r>
      <w:r w:rsidRPr="0014054B">
        <w:rPr>
          <w:rFonts w:ascii="Bookman Old Style" w:hAnsi="Bookman Old Style" w:cs="Arial"/>
          <w:b/>
          <w:bCs/>
          <w:i/>
          <w:iCs/>
          <w:color w:val="000000"/>
          <w:sz w:val="26"/>
          <w:szCs w:val="26"/>
        </w:rPr>
        <w:t xml:space="preserve">. </w:t>
      </w:r>
      <w:proofErr w:type="spellStart"/>
      <w:r>
        <w:rPr>
          <w:rFonts w:ascii="Bookman Old Style" w:hAnsi="Bookman Old Style" w:cs="Arial"/>
          <w:b/>
          <w:bCs/>
          <w:i/>
          <w:iCs/>
          <w:color w:val="000000"/>
          <w:sz w:val="26"/>
          <w:szCs w:val="26"/>
          <w:lang w:val="el-GR"/>
        </w:rPr>
        <w:t>Εφ</w:t>
      </w:r>
      <w:proofErr w:type="spellEnd"/>
      <w:r w:rsidRPr="0014054B">
        <w:rPr>
          <w:rFonts w:ascii="Bookman Old Style" w:hAnsi="Bookman Old Style" w:cs="Arial"/>
          <w:b/>
          <w:bCs/>
          <w:i/>
          <w:iCs/>
          <w:color w:val="000000"/>
          <w:sz w:val="26"/>
          <w:szCs w:val="26"/>
        </w:rPr>
        <w:t>. 219/14, 29.2.2016</w:t>
      </w:r>
      <w:r w:rsidRPr="0014054B">
        <w:rPr>
          <w:rFonts w:ascii="Bookman Old Style" w:hAnsi="Bookman Old Style" w:cs="Arial"/>
          <w:i/>
          <w:iCs/>
          <w:color w:val="000000"/>
          <w:sz w:val="26"/>
          <w:szCs w:val="26"/>
        </w:rPr>
        <w:t>).</w:t>
      </w:r>
      <w:r>
        <w:rPr>
          <w:rFonts w:ascii="Bookman Old Style" w:hAnsi="Bookman Old Style" w:cs="Arial"/>
          <w:b/>
          <w:bCs/>
          <w:i/>
          <w:iCs/>
          <w:color w:val="000000"/>
          <w:sz w:val="26"/>
          <w:szCs w:val="26"/>
          <w:lang w:val="en-US"/>
        </w:rPr>
        <w:t> </w:t>
      </w:r>
      <w:r>
        <w:rPr>
          <w:rFonts w:ascii="Bookman Old Style" w:hAnsi="Bookman Old Style" w:cs="Arial"/>
          <w:i/>
          <w:iCs/>
          <w:color w:val="000000"/>
          <w:sz w:val="26"/>
          <w:szCs w:val="26"/>
          <w:lang w:val="el-GR"/>
        </w:rPr>
        <w:t>Έστω και σε χαμηλό επίπεδο όμως, πρέπει να δοθούν στοιχεία και όχι απλά συμπεράσματα ή καταλήξεις, όπως συμβαίνει εν προκειμένω</w:t>
      </w:r>
      <w:r>
        <w:rPr>
          <w:rFonts w:ascii="Bookman Old Style" w:hAnsi="Bookman Old Style" w:cs="Arial"/>
          <w:color w:val="000000"/>
          <w:sz w:val="26"/>
          <w:szCs w:val="26"/>
          <w:lang w:val="el-GR"/>
        </w:rPr>
        <w:t>.»</w:t>
      </w:r>
    </w:p>
    <w:p w14:paraId="0FE76E7F" w14:textId="77777777" w:rsidR="00D94A13" w:rsidRDefault="00D94A13" w:rsidP="00D94A13">
      <w:pPr>
        <w:spacing w:line="480" w:lineRule="auto"/>
        <w:rPr>
          <w:sz w:val="28"/>
          <w:szCs w:val="28"/>
          <w:lang w:val="el-GR"/>
        </w:rPr>
      </w:pPr>
      <w:r>
        <w:rPr>
          <w:sz w:val="28"/>
          <w:szCs w:val="28"/>
          <w:lang w:val="el-GR"/>
        </w:rPr>
        <w:t> </w:t>
      </w:r>
    </w:p>
    <w:p w14:paraId="3C86C685" w14:textId="77777777" w:rsidR="00D94A13" w:rsidRPr="00D94A13" w:rsidRDefault="00D94A13" w:rsidP="00D94A13">
      <w:pPr>
        <w:spacing w:line="276" w:lineRule="auto"/>
        <w:ind w:left="426" w:right="390"/>
        <w:jc w:val="both"/>
        <w:rPr>
          <w:rFonts w:ascii="Bookman Old Style" w:hAnsi="Bookman Old Style"/>
          <w:sz w:val="26"/>
          <w:szCs w:val="26"/>
          <w:lang w:val="el-GR"/>
        </w:rPr>
      </w:pPr>
      <w:r w:rsidRPr="00D94A13">
        <w:rPr>
          <w:rFonts w:ascii="Bookman Old Style" w:hAnsi="Bookman Old Style"/>
          <w:sz w:val="26"/>
          <w:szCs w:val="26"/>
          <w:lang w:val="el-GR"/>
        </w:rPr>
        <w:t xml:space="preserve">Τα πιο πάνω επαναλήφθηκαν και στην πρόσφατη Απόφαση </w:t>
      </w:r>
      <w:r w:rsidRPr="00D94A13">
        <w:rPr>
          <w:rFonts w:ascii="Bookman Old Style" w:hAnsi="Bookman Old Style"/>
          <w:b/>
          <w:bCs/>
          <w:i/>
          <w:iCs/>
          <w:sz w:val="26"/>
          <w:szCs w:val="26"/>
          <w:lang w:val="el-GR"/>
        </w:rPr>
        <w:t>Αναφορικά με την</w:t>
      </w:r>
      <w:r w:rsidRPr="00D94A13">
        <w:rPr>
          <w:rFonts w:ascii="Bookman Old Style" w:hAnsi="Bookman Old Style"/>
          <w:sz w:val="26"/>
          <w:szCs w:val="26"/>
          <w:lang w:val="el-GR"/>
        </w:rPr>
        <w:t xml:space="preserve"> </w:t>
      </w:r>
      <w:r w:rsidRPr="00D94A13">
        <w:rPr>
          <w:rFonts w:ascii="Bookman Old Style" w:hAnsi="Bookman Old Style"/>
          <w:b/>
          <w:bCs/>
          <w:i/>
          <w:iCs/>
          <w:sz w:val="26"/>
          <w:szCs w:val="26"/>
          <w:lang w:val="el-GR"/>
        </w:rPr>
        <w:t xml:space="preserve">Αίτηση του </w:t>
      </w:r>
      <w:r w:rsidRPr="00D94A13">
        <w:rPr>
          <w:rFonts w:ascii="Bookman Old Style" w:hAnsi="Bookman Old Style"/>
          <w:b/>
          <w:bCs/>
          <w:i/>
          <w:iCs/>
          <w:sz w:val="26"/>
          <w:szCs w:val="26"/>
          <w:lang w:val="en-US"/>
        </w:rPr>
        <w:t>A</w:t>
      </w:r>
      <w:r w:rsidRPr="00D94A13">
        <w:rPr>
          <w:rFonts w:ascii="Bookman Old Style" w:hAnsi="Bookman Old Style"/>
          <w:b/>
          <w:bCs/>
          <w:i/>
          <w:iCs/>
          <w:sz w:val="26"/>
          <w:szCs w:val="26"/>
          <w:lang w:val="el-GR"/>
        </w:rPr>
        <w:t>.</w:t>
      </w:r>
      <w:r w:rsidRPr="00D94A13">
        <w:rPr>
          <w:rFonts w:ascii="Bookman Old Style" w:hAnsi="Bookman Old Style"/>
          <w:b/>
          <w:bCs/>
          <w:i/>
          <w:iCs/>
          <w:sz w:val="26"/>
          <w:szCs w:val="26"/>
          <w:lang w:val="en-US"/>
        </w:rPr>
        <w:t>D</w:t>
      </w:r>
      <w:r w:rsidRPr="00D94A13">
        <w:rPr>
          <w:rFonts w:ascii="Bookman Old Style" w:hAnsi="Bookman Old Style"/>
          <w:b/>
          <w:bCs/>
          <w:i/>
          <w:iCs/>
          <w:sz w:val="26"/>
          <w:szCs w:val="26"/>
          <w:lang w:val="el-GR"/>
        </w:rPr>
        <w:t>.</w:t>
      </w:r>
      <w:r w:rsidRPr="00D94A13">
        <w:rPr>
          <w:rFonts w:ascii="Bookman Old Style" w:hAnsi="Bookman Old Style"/>
          <w:b/>
          <w:bCs/>
          <w:i/>
          <w:iCs/>
          <w:sz w:val="26"/>
          <w:szCs w:val="26"/>
          <w:lang w:val="en-US"/>
        </w:rPr>
        <w:t>S</w:t>
      </w:r>
      <w:r w:rsidRPr="00D94A13">
        <w:rPr>
          <w:rFonts w:ascii="Bookman Old Style" w:hAnsi="Bookman Old Style"/>
          <w:b/>
          <w:bCs/>
          <w:i/>
          <w:iCs/>
          <w:sz w:val="26"/>
          <w:szCs w:val="26"/>
          <w:lang w:val="el-GR"/>
        </w:rPr>
        <w:t xml:space="preserve">., Πολιτική Έφεση Αρ. 340/2021, </w:t>
      </w:r>
      <w:proofErr w:type="spellStart"/>
      <w:r w:rsidRPr="00D94A13">
        <w:rPr>
          <w:rFonts w:ascii="Bookman Old Style" w:hAnsi="Bookman Old Style"/>
          <w:b/>
          <w:bCs/>
          <w:i/>
          <w:iCs/>
          <w:sz w:val="26"/>
          <w:szCs w:val="26"/>
          <w:lang w:val="el-GR"/>
        </w:rPr>
        <w:t>ημερ</w:t>
      </w:r>
      <w:proofErr w:type="spellEnd"/>
      <w:r w:rsidRPr="00D94A13">
        <w:rPr>
          <w:rFonts w:ascii="Bookman Old Style" w:hAnsi="Bookman Old Style"/>
          <w:b/>
          <w:bCs/>
          <w:i/>
          <w:iCs/>
          <w:sz w:val="26"/>
          <w:szCs w:val="26"/>
          <w:lang w:val="el-GR"/>
        </w:rPr>
        <w:t>. 6/7/2023</w:t>
      </w:r>
      <w:r w:rsidRPr="00D94A13">
        <w:rPr>
          <w:rFonts w:ascii="Bookman Old Style" w:hAnsi="Bookman Old Style"/>
          <w:sz w:val="26"/>
          <w:szCs w:val="26"/>
          <w:lang w:val="el-GR"/>
        </w:rPr>
        <w:t>.</w:t>
      </w:r>
    </w:p>
    <w:p w14:paraId="197AA1A1" w14:textId="77777777" w:rsidR="00D94A13" w:rsidRPr="00D94A13" w:rsidRDefault="00D94A13" w:rsidP="00D94A13">
      <w:pPr>
        <w:spacing w:line="276" w:lineRule="auto"/>
        <w:ind w:left="426" w:right="390"/>
        <w:jc w:val="both"/>
        <w:rPr>
          <w:rFonts w:ascii="Bookman Old Style" w:hAnsi="Bookman Old Style"/>
          <w:sz w:val="26"/>
          <w:szCs w:val="26"/>
          <w:lang w:val="el-GR"/>
        </w:rPr>
      </w:pPr>
    </w:p>
    <w:p w14:paraId="109751A4" w14:textId="51FF317C" w:rsidR="00D94A13" w:rsidRPr="00D94A13" w:rsidRDefault="00D94A13" w:rsidP="00D94A13">
      <w:pPr>
        <w:spacing w:line="276" w:lineRule="auto"/>
        <w:ind w:left="426" w:right="390"/>
        <w:jc w:val="both"/>
        <w:rPr>
          <w:rFonts w:ascii="Bookman Old Style" w:hAnsi="Bookman Old Style"/>
          <w:sz w:val="26"/>
          <w:szCs w:val="26"/>
          <w:lang w:val="el-GR"/>
        </w:rPr>
      </w:pPr>
      <w:r w:rsidRPr="00D94A13">
        <w:rPr>
          <w:rFonts w:ascii="Bookman Old Style" w:hAnsi="Bookman Old Style"/>
          <w:sz w:val="26"/>
          <w:szCs w:val="26"/>
          <w:lang w:val="el-GR"/>
        </w:rPr>
        <w:t xml:space="preserve">Για την επάρκεια του μαρτυρικού υλικού που τίθεται ενώπιον Δικαστηρίου για να μπορέσει το ίδιο το Δικαστήριο να διαμορφώσει την δική του κρίση, παραπέμπουμε και στην υπόθεση </w:t>
      </w:r>
      <w:r w:rsidRPr="00D94A13">
        <w:rPr>
          <w:rFonts w:ascii="Bookman Old Style" w:hAnsi="Bookman Old Style"/>
          <w:b/>
          <w:bCs/>
          <w:i/>
          <w:iCs/>
          <w:sz w:val="26"/>
          <w:szCs w:val="26"/>
          <w:lang w:val="el-GR"/>
        </w:rPr>
        <w:t>Αναφορικά με την Αίτηση του Σταύρου Βαρνάβα (2013) 1(Β) Α.Α.Δ. 1143</w:t>
      </w:r>
      <w:r w:rsidRPr="00D94A13">
        <w:rPr>
          <w:rFonts w:ascii="Bookman Old Style" w:hAnsi="Bookman Old Style"/>
          <w:sz w:val="26"/>
          <w:szCs w:val="26"/>
          <w:lang w:val="el-GR"/>
        </w:rPr>
        <w:t>.</w:t>
      </w:r>
      <w:r w:rsidR="00A8402D">
        <w:rPr>
          <w:rFonts w:ascii="Bookman Old Style" w:hAnsi="Bookman Old Style"/>
          <w:sz w:val="26"/>
          <w:szCs w:val="26"/>
          <w:lang w:val="el-GR"/>
        </w:rPr>
        <w:t>»</w:t>
      </w:r>
    </w:p>
    <w:p w14:paraId="682B5DF6" w14:textId="7827B795" w:rsidR="000B3A75" w:rsidRDefault="000B3A75"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Η Αίτηση δια κλήσεως καταχωρίστηκε με βάση τις οδηγίες του Δικαστηρίου και επεδόθη στο Γενικό Εισαγγελέα. Ο τελευταίος εκπροσωπούμενος από την κα Μασούρα καταχώρισε ένσταση, υποστηριζόμενη από Ένορκη Δήλωση του Α/</w:t>
      </w:r>
      <w:proofErr w:type="spellStart"/>
      <w:r>
        <w:rPr>
          <w:rFonts w:ascii="Bookman Old Style" w:hAnsi="Bookman Old Style" w:cs="Arial"/>
          <w:sz w:val="28"/>
          <w:szCs w:val="28"/>
          <w:lang w:val="el-GR"/>
        </w:rPr>
        <w:t>Αστ</w:t>
      </w:r>
      <w:proofErr w:type="spellEnd"/>
      <w:r>
        <w:rPr>
          <w:rFonts w:ascii="Bookman Old Style" w:hAnsi="Bookman Old Style" w:cs="Arial"/>
          <w:sz w:val="28"/>
          <w:szCs w:val="28"/>
          <w:lang w:val="el-GR"/>
        </w:rPr>
        <w:t>. 3428, Κ. Χαραλάμπους, στην οποία προβάλλονται διάφοροι λόγοι ένστασης. Μεταξύ αυτών προβάλλεται ότι η έκδοση του υπό αναφορά Εντάλματος Έρευνας έγινε νομότυπα επειδή συνέτρεχαν όλες οι αναγκαίες προϋποθέσεις για την έκδοση του και με βάση τα γεγονότα που είχαν εκτεθεί στην ΄</w:t>
      </w:r>
      <w:proofErr w:type="spellStart"/>
      <w:r>
        <w:rPr>
          <w:rFonts w:ascii="Bookman Old Style" w:hAnsi="Bookman Old Style" w:cs="Arial"/>
          <w:sz w:val="28"/>
          <w:szCs w:val="28"/>
          <w:lang w:val="el-GR"/>
        </w:rPr>
        <w:t>Ενορκη</w:t>
      </w:r>
      <w:proofErr w:type="spellEnd"/>
      <w:r>
        <w:rPr>
          <w:rFonts w:ascii="Bookman Old Style" w:hAnsi="Bookman Old Style" w:cs="Arial"/>
          <w:sz w:val="28"/>
          <w:szCs w:val="28"/>
          <w:lang w:val="el-GR"/>
        </w:rPr>
        <w:t xml:space="preserve"> Δήλωση του Α/</w:t>
      </w:r>
      <w:proofErr w:type="spellStart"/>
      <w:r>
        <w:rPr>
          <w:rFonts w:ascii="Bookman Old Style" w:hAnsi="Bookman Old Style" w:cs="Arial"/>
          <w:sz w:val="28"/>
          <w:szCs w:val="28"/>
          <w:lang w:val="el-GR"/>
        </w:rPr>
        <w:t>Αστ</w:t>
      </w:r>
      <w:proofErr w:type="spellEnd"/>
      <w:r>
        <w:rPr>
          <w:rFonts w:ascii="Bookman Old Style" w:hAnsi="Bookman Old Style" w:cs="Arial"/>
          <w:sz w:val="28"/>
          <w:szCs w:val="28"/>
          <w:lang w:val="el-GR"/>
        </w:rPr>
        <w:t>. 3428, Κ. Χαραλάμπους, της ΥΚΑΝ Λεμεσού, καθώς και ότι η Αστυνομία δεν περιορίστηκε μόνο σε μια ανώνυμη πληροφορία καθότι η πληροφορία λήφθηκε από συγκεκριμένο αξιόπιστο πληροφοριοδότη ο οποίος είχε στο παρελθόν συνεργαστεί με θετικό αποτέλεσμα για την Αστυνομία.</w:t>
      </w:r>
      <w:r w:rsidR="008A3251">
        <w:rPr>
          <w:rFonts w:ascii="Bookman Old Style" w:hAnsi="Bookman Old Style" w:cs="Arial"/>
          <w:sz w:val="28"/>
          <w:szCs w:val="28"/>
          <w:lang w:val="el-GR"/>
        </w:rPr>
        <w:t xml:space="preserve"> </w:t>
      </w:r>
    </w:p>
    <w:p w14:paraId="14D84AC8" w14:textId="77777777" w:rsidR="00BE1616" w:rsidRPr="00DF7FC9" w:rsidRDefault="00BE1616" w:rsidP="0000790C">
      <w:pPr>
        <w:spacing w:line="480" w:lineRule="auto"/>
        <w:ind w:right="-35"/>
        <w:jc w:val="both"/>
        <w:rPr>
          <w:rFonts w:ascii="Bookman Old Style" w:hAnsi="Bookman Old Style" w:cs="Arial"/>
          <w:sz w:val="28"/>
          <w:szCs w:val="28"/>
          <w:lang w:val="el-GR"/>
        </w:rPr>
      </w:pPr>
    </w:p>
    <w:p w14:paraId="7183DE1E" w14:textId="26BABF13" w:rsidR="00DF7FC9" w:rsidRPr="0014054B" w:rsidRDefault="00BE1616" w:rsidP="00DF7FC9">
      <w:pPr>
        <w:spacing w:line="480" w:lineRule="auto"/>
        <w:jc w:val="both"/>
        <w:rPr>
          <w:rFonts w:ascii="Bookman Old Style" w:hAnsi="Bookman Old Style" w:cs="Arial"/>
          <w:color w:val="000000"/>
          <w:sz w:val="28"/>
          <w:szCs w:val="28"/>
          <w:lang w:val="el-GR"/>
        </w:rPr>
      </w:pPr>
      <w:r w:rsidRPr="00DF7FC9">
        <w:rPr>
          <w:rFonts w:ascii="Bookman Old Style" w:hAnsi="Bookman Old Style" w:cs="Arial"/>
          <w:sz w:val="28"/>
          <w:szCs w:val="28"/>
          <w:lang w:val="el-GR"/>
        </w:rPr>
        <w:t xml:space="preserve">Η αναφορά στην Ένορκη Δήλωση πως η δοθείσα πληροφορία αξιολογήθηκε θετικά από την Αστυνομία και καταχωρίστηκε στα αστυνομικά μητρώα, δεν είναι αρκετή αφού δεν είχε αποκαλυφθεί στον Όρκο του Αστυνομικού </w:t>
      </w:r>
      <w:r w:rsidR="00C0721C" w:rsidRPr="00DF7FC9">
        <w:rPr>
          <w:rFonts w:ascii="Bookman Old Style" w:hAnsi="Bookman Old Style" w:cs="Arial"/>
          <w:sz w:val="28"/>
          <w:szCs w:val="28"/>
          <w:lang w:val="el-GR"/>
        </w:rPr>
        <w:t>τι</w:t>
      </w:r>
      <w:r w:rsidRPr="00DF7FC9">
        <w:rPr>
          <w:rFonts w:ascii="Bookman Old Style" w:hAnsi="Bookman Old Style" w:cs="Arial"/>
          <w:sz w:val="28"/>
          <w:szCs w:val="28"/>
          <w:lang w:val="el-GR"/>
        </w:rPr>
        <w:t xml:space="preserve"> είχε θέσει ενώπιον της η Αστυνομία για να αξιολογήσει θετικά την εν λόγω πληροφορία.</w:t>
      </w:r>
      <w:r w:rsidR="00EA1B58" w:rsidRPr="00DF7FC9">
        <w:rPr>
          <w:rFonts w:ascii="Bookman Old Style" w:hAnsi="Bookman Old Style" w:cs="Arial"/>
          <w:sz w:val="28"/>
          <w:szCs w:val="28"/>
          <w:lang w:val="el-GR"/>
        </w:rPr>
        <w:t xml:space="preserve"> Όπως προκύπτει, στον Όρκο δεν γινόταν αναφορά στο ίδιο το περιεχόμενο της πληροφορίας, δηλαδή τα πρωτογενή γεγονότα που συνέθεταν το αποτέλεσμα ότι ο Αιτητής κατείχε ναρκωτικά τα οποία προμήθευε σε άλλα πρόσωπα</w:t>
      </w:r>
      <w:r w:rsidR="00F14F9C" w:rsidRPr="00DF7FC9">
        <w:rPr>
          <w:rFonts w:ascii="Bookman Old Style" w:hAnsi="Bookman Old Style" w:cs="Arial"/>
          <w:sz w:val="28"/>
          <w:szCs w:val="28"/>
          <w:lang w:val="el-GR"/>
        </w:rPr>
        <w:t xml:space="preserve"> (βλ. </w:t>
      </w:r>
      <w:r w:rsidR="00F14F9C" w:rsidRPr="00DF7FC9">
        <w:rPr>
          <w:rFonts w:ascii="Bookman Old Style" w:hAnsi="Bookman Old Style" w:cs="Arial"/>
          <w:b/>
          <w:bCs/>
          <w:i/>
          <w:iCs/>
          <w:sz w:val="28"/>
          <w:szCs w:val="28"/>
          <w:lang w:val="el-GR"/>
        </w:rPr>
        <w:t xml:space="preserve">Αναφορικά με την </w:t>
      </w:r>
      <w:r w:rsidR="00F14F9C" w:rsidRPr="00DF7FC9">
        <w:rPr>
          <w:rFonts w:ascii="Bookman Old Style" w:hAnsi="Bookman Old Style" w:cs="Arial"/>
          <w:b/>
          <w:bCs/>
          <w:i/>
          <w:iCs/>
          <w:sz w:val="28"/>
          <w:szCs w:val="28"/>
          <w:lang w:val="el-GR"/>
        </w:rPr>
        <w:lastRenderedPageBreak/>
        <w:t xml:space="preserve">Αίτηση του </w:t>
      </w:r>
      <w:r w:rsidR="00F14F9C" w:rsidRPr="00DF7FC9">
        <w:rPr>
          <w:rFonts w:ascii="Bookman Old Style" w:hAnsi="Bookman Old Style" w:cs="Arial"/>
          <w:b/>
          <w:bCs/>
          <w:i/>
          <w:iCs/>
          <w:sz w:val="28"/>
          <w:szCs w:val="28"/>
          <w:lang w:val="en-US"/>
        </w:rPr>
        <w:t>A</w:t>
      </w:r>
      <w:r w:rsidR="00F14F9C" w:rsidRPr="00DF7FC9">
        <w:rPr>
          <w:rFonts w:ascii="Bookman Old Style" w:hAnsi="Bookman Old Style" w:cs="Arial"/>
          <w:b/>
          <w:bCs/>
          <w:i/>
          <w:iCs/>
          <w:sz w:val="28"/>
          <w:szCs w:val="28"/>
          <w:lang w:val="el-GR"/>
        </w:rPr>
        <w:t>.</w:t>
      </w:r>
      <w:r w:rsidR="00F14F9C" w:rsidRPr="00DF7FC9">
        <w:rPr>
          <w:rFonts w:ascii="Bookman Old Style" w:hAnsi="Bookman Old Style" w:cs="Arial"/>
          <w:b/>
          <w:bCs/>
          <w:i/>
          <w:iCs/>
          <w:sz w:val="28"/>
          <w:szCs w:val="28"/>
          <w:lang w:val="en-US"/>
        </w:rPr>
        <w:t>D</w:t>
      </w:r>
      <w:r w:rsidR="00F14F9C" w:rsidRPr="00DF7FC9">
        <w:rPr>
          <w:rFonts w:ascii="Bookman Old Style" w:hAnsi="Bookman Old Style" w:cs="Arial"/>
          <w:b/>
          <w:bCs/>
          <w:i/>
          <w:iCs/>
          <w:sz w:val="28"/>
          <w:szCs w:val="28"/>
          <w:lang w:val="el-GR"/>
        </w:rPr>
        <w:t>.</w:t>
      </w:r>
      <w:r w:rsidR="00F14F9C" w:rsidRPr="00DF7FC9">
        <w:rPr>
          <w:rFonts w:ascii="Bookman Old Style" w:hAnsi="Bookman Old Style" w:cs="Arial"/>
          <w:b/>
          <w:bCs/>
          <w:i/>
          <w:iCs/>
          <w:sz w:val="28"/>
          <w:szCs w:val="28"/>
          <w:lang w:val="en-US"/>
        </w:rPr>
        <w:t>S</w:t>
      </w:r>
      <w:r w:rsidR="00F14F9C" w:rsidRPr="00DF7FC9">
        <w:rPr>
          <w:rFonts w:ascii="Bookman Old Style" w:hAnsi="Bookman Old Style" w:cs="Arial"/>
          <w:b/>
          <w:bCs/>
          <w:i/>
          <w:iCs/>
          <w:sz w:val="28"/>
          <w:szCs w:val="28"/>
          <w:lang w:val="el-GR"/>
        </w:rPr>
        <w:t xml:space="preserve">. </w:t>
      </w:r>
      <w:r w:rsidR="00F14F9C" w:rsidRPr="00DF7FC9">
        <w:rPr>
          <w:rFonts w:ascii="Bookman Old Style" w:hAnsi="Bookman Old Style" w:cs="Arial"/>
          <w:sz w:val="28"/>
          <w:szCs w:val="28"/>
          <w:lang w:val="el-GR"/>
        </w:rPr>
        <w:t xml:space="preserve">(ανωτέρω) και </w:t>
      </w:r>
      <w:r w:rsidR="00F14F9C" w:rsidRPr="00DF7FC9">
        <w:rPr>
          <w:rFonts w:ascii="Bookman Old Style" w:hAnsi="Bookman Old Style" w:cs="Arial"/>
          <w:b/>
          <w:bCs/>
          <w:i/>
          <w:iCs/>
          <w:sz w:val="28"/>
          <w:szCs w:val="28"/>
          <w:lang w:val="el-GR"/>
        </w:rPr>
        <w:t>Αναφορικά με την Αίτηση του Νικόλα Παιδονόμου, Αρ. Αίτησης 118/2023 (</w:t>
      </w:r>
      <w:r w:rsidR="00F14F9C" w:rsidRPr="00DF7FC9">
        <w:rPr>
          <w:rFonts w:ascii="Bookman Old Style" w:hAnsi="Bookman Old Style" w:cs="Arial"/>
          <w:b/>
          <w:bCs/>
          <w:i/>
          <w:iCs/>
          <w:sz w:val="28"/>
          <w:szCs w:val="28"/>
          <w:lang w:val="en-US"/>
        </w:rPr>
        <w:t>i</w:t>
      </w:r>
      <w:r w:rsidR="00F14F9C" w:rsidRPr="00DF7FC9">
        <w:rPr>
          <w:rFonts w:ascii="Bookman Old Style" w:hAnsi="Bookman Old Style" w:cs="Arial"/>
          <w:b/>
          <w:bCs/>
          <w:i/>
          <w:iCs/>
          <w:sz w:val="28"/>
          <w:szCs w:val="28"/>
          <w:lang w:val="el-GR"/>
        </w:rPr>
        <w:t>-</w:t>
      </w:r>
      <w:r w:rsidR="00F14F9C" w:rsidRPr="00DF7FC9">
        <w:rPr>
          <w:rFonts w:ascii="Bookman Old Style" w:hAnsi="Bookman Old Style" w:cs="Arial"/>
          <w:b/>
          <w:bCs/>
          <w:i/>
          <w:iCs/>
          <w:sz w:val="28"/>
          <w:szCs w:val="28"/>
          <w:lang w:val="en-US"/>
        </w:rPr>
        <w:t>justice</w:t>
      </w:r>
      <w:r w:rsidR="00F14F9C" w:rsidRPr="00DF7FC9">
        <w:rPr>
          <w:rFonts w:ascii="Bookman Old Style" w:hAnsi="Bookman Old Style" w:cs="Arial"/>
          <w:b/>
          <w:bCs/>
          <w:i/>
          <w:iCs/>
          <w:sz w:val="28"/>
          <w:szCs w:val="28"/>
          <w:lang w:val="el-GR"/>
        </w:rPr>
        <w:t xml:space="preserve">), </w:t>
      </w:r>
      <w:proofErr w:type="spellStart"/>
      <w:r w:rsidR="00F14F9C" w:rsidRPr="00DF7FC9">
        <w:rPr>
          <w:rFonts w:ascii="Bookman Old Style" w:hAnsi="Bookman Old Style" w:cs="Arial"/>
          <w:b/>
          <w:bCs/>
          <w:i/>
          <w:iCs/>
          <w:sz w:val="28"/>
          <w:szCs w:val="28"/>
          <w:lang w:val="el-GR"/>
        </w:rPr>
        <w:t>ημερ</w:t>
      </w:r>
      <w:proofErr w:type="spellEnd"/>
      <w:r w:rsidR="00F14F9C" w:rsidRPr="00DF7FC9">
        <w:rPr>
          <w:rFonts w:ascii="Bookman Old Style" w:hAnsi="Bookman Old Style" w:cs="Arial"/>
          <w:b/>
          <w:bCs/>
          <w:i/>
          <w:iCs/>
          <w:sz w:val="28"/>
          <w:szCs w:val="28"/>
          <w:lang w:val="el-GR"/>
        </w:rPr>
        <w:t>. 26/9/2023</w:t>
      </w:r>
      <w:r w:rsidR="00F14F9C" w:rsidRPr="00DF7FC9">
        <w:rPr>
          <w:rFonts w:ascii="Bookman Old Style" w:hAnsi="Bookman Old Style" w:cs="Arial"/>
          <w:sz w:val="28"/>
          <w:szCs w:val="28"/>
          <w:lang w:val="el-GR"/>
        </w:rPr>
        <w:t>)</w:t>
      </w:r>
      <w:r w:rsidR="00EA1B58" w:rsidRPr="00DF7FC9">
        <w:rPr>
          <w:rFonts w:ascii="Bookman Old Style" w:hAnsi="Bookman Old Style" w:cs="Arial"/>
          <w:sz w:val="28"/>
          <w:szCs w:val="28"/>
          <w:lang w:val="el-GR"/>
        </w:rPr>
        <w:t>.</w:t>
      </w:r>
      <w:r w:rsidR="003F0B03" w:rsidRPr="00DF7FC9">
        <w:rPr>
          <w:rFonts w:ascii="Bookman Old Style" w:hAnsi="Bookman Old Style" w:cs="Arial"/>
          <w:sz w:val="28"/>
          <w:szCs w:val="28"/>
          <w:lang w:val="el-GR"/>
        </w:rPr>
        <w:t xml:space="preserve"> Στο τέλος της ημέρας είναι το ίδιο το κατώτερο Δικαστήριο και όχι η Αστυνομία που θα αποφασίσει και θα κρίνει κατά πόσο προέκυπταν στη βάση του μαρτυρικού υλικού που είχε τεθεί ενώπιον του εύλογες υπόνοιες ότι στη συγκεκριμένη οικία, υποστατικά και οχήματα </w:t>
      </w:r>
      <w:proofErr w:type="spellStart"/>
      <w:r w:rsidR="003F0B03" w:rsidRPr="00DF7FC9">
        <w:rPr>
          <w:rFonts w:ascii="Bookman Old Style" w:hAnsi="Bookman Old Style" w:cs="Arial"/>
          <w:sz w:val="28"/>
          <w:szCs w:val="28"/>
          <w:lang w:val="el-GR"/>
        </w:rPr>
        <w:t>φυλάττονταν</w:t>
      </w:r>
      <w:proofErr w:type="spellEnd"/>
      <w:r w:rsidR="003F0B03" w:rsidRPr="00DF7FC9">
        <w:rPr>
          <w:rFonts w:ascii="Bookman Old Style" w:hAnsi="Bookman Old Style" w:cs="Arial"/>
          <w:sz w:val="28"/>
          <w:szCs w:val="28"/>
          <w:lang w:val="el-GR"/>
        </w:rPr>
        <w:t xml:space="preserve"> ελεγχόμενα φάρμακα Τάξεως Β. </w:t>
      </w:r>
      <w:r w:rsidR="00DF7FC9" w:rsidRPr="00DF7FC9">
        <w:rPr>
          <w:rFonts w:ascii="Bookman Old Style" w:hAnsi="Bookman Old Style"/>
          <w:color w:val="000000"/>
          <w:sz w:val="28"/>
          <w:szCs w:val="28"/>
          <w:lang w:val="el-GR"/>
        </w:rPr>
        <w:t>Προς τούτο παραπέμπω στην υπόθεση</w:t>
      </w:r>
      <w:r w:rsidR="00DF7FC9" w:rsidRPr="00DF7FC9">
        <w:rPr>
          <w:rFonts w:ascii="Bookman Old Style" w:hAnsi="Bookman Old Style"/>
          <w:color w:val="000000"/>
          <w:sz w:val="28"/>
          <w:szCs w:val="28"/>
        </w:rPr>
        <w:t> </w:t>
      </w:r>
      <w:r w:rsidR="00DF7FC9" w:rsidRPr="00DF7FC9">
        <w:rPr>
          <w:rFonts w:ascii="Bookman Old Style" w:hAnsi="Bookman Old Style"/>
          <w:b/>
          <w:bCs/>
          <w:i/>
          <w:iCs/>
          <w:color w:val="000000"/>
          <w:sz w:val="28"/>
          <w:szCs w:val="28"/>
          <w:lang w:val="el-GR"/>
        </w:rPr>
        <w:t>Παναγιώτου (Αρ. 2) (2002) 1(Γ) Α</w:t>
      </w:r>
      <w:r w:rsidR="00DF7FC9">
        <w:rPr>
          <w:rFonts w:ascii="Bookman Old Style" w:hAnsi="Bookman Old Style"/>
          <w:b/>
          <w:bCs/>
          <w:i/>
          <w:iCs/>
          <w:color w:val="000000"/>
          <w:sz w:val="28"/>
          <w:szCs w:val="28"/>
          <w:lang w:val="el-GR"/>
        </w:rPr>
        <w:t>.</w:t>
      </w:r>
      <w:r w:rsidR="00DF7FC9" w:rsidRPr="00DF7FC9">
        <w:rPr>
          <w:rFonts w:ascii="Bookman Old Style" w:hAnsi="Bookman Old Style"/>
          <w:b/>
          <w:bCs/>
          <w:i/>
          <w:iCs/>
          <w:color w:val="000000"/>
          <w:sz w:val="28"/>
          <w:szCs w:val="28"/>
          <w:lang w:val="el-GR"/>
        </w:rPr>
        <w:t>Α</w:t>
      </w:r>
      <w:r w:rsidR="00DF7FC9">
        <w:rPr>
          <w:rFonts w:ascii="Bookman Old Style" w:hAnsi="Bookman Old Style"/>
          <w:b/>
          <w:bCs/>
          <w:i/>
          <w:iCs/>
          <w:color w:val="000000"/>
          <w:sz w:val="28"/>
          <w:szCs w:val="28"/>
          <w:lang w:val="el-GR"/>
        </w:rPr>
        <w:t>.</w:t>
      </w:r>
      <w:r w:rsidR="00DF7FC9" w:rsidRPr="00DF7FC9">
        <w:rPr>
          <w:rFonts w:ascii="Bookman Old Style" w:hAnsi="Bookman Old Style"/>
          <w:b/>
          <w:bCs/>
          <w:i/>
          <w:iCs/>
          <w:color w:val="000000"/>
          <w:sz w:val="28"/>
          <w:szCs w:val="28"/>
          <w:lang w:val="el-GR"/>
        </w:rPr>
        <w:t>Δ</w:t>
      </w:r>
      <w:r w:rsidR="00DF7FC9">
        <w:rPr>
          <w:rFonts w:ascii="Bookman Old Style" w:hAnsi="Bookman Old Style"/>
          <w:b/>
          <w:bCs/>
          <w:i/>
          <w:iCs/>
          <w:color w:val="000000"/>
          <w:sz w:val="28"/>
          <w:szCs w:val="28"/>
          <w:lang w:val="el-GR"/>
        </w:rPr>
        <w:t>.</w:t>
      </w:r>
      <w:r w:rsidR="00C13761">
        <w:rPr>
          <w:rFonts w:ascii="Bookman Old Style" w:hAnsi="Bookman Old Style"/>
          <w:b/>
          <w:bCs/>
          <w:i/>
          <w:iCs/>
          <w:color w:val="000000"/>
          <w:sz w:val="28"/>
          <w:szCs w:val="28"/>
          <w:lang w:val="el-GR"/>
        </w:rPr>
        <w:t xml:space="preserve"> </w:t>
      </w:r>
      <w:r w:rsidR="00DF7FC9" w:rsidRPr="00DF7FC9">
        <w:rPr>
          <w:rFonts w:ascii="Bookman Old Style" w:hAnsi="Bookman Old Style"/>
          <w:b/>
          <w:bCs/>
          <w:i/>
          <w:iCs/>
          <w:color w:val="000000"/>
          <w:sz w:val="28"/>
          <w:szCs w:val="28"/>
          <w:lang w:val="el-GR"/>
        </w:rPr>
        <w:t>1957</w:t>
      </w:r>
      <w:r w:rsidR="00DF7FC9" w:rsidRPr="00DF7FC9">
        <w:rPr>
          <w:rFonts w:ascii="Bookman Old Style" w:hAnsi="Bookman Old Style"/>
          <w:color w:val="000000"/>
          <w:sz w:val="28"/>
          <w:szCs w:val="28"/>
          <w:lang w:val="el-GR"/>
        </w:rPr>
        <w:t>, όπου λέχθηκαν τα ακόλουθα</w:t>
      </w:r>
      <w:r w:rsidR="00DF7FC9">
        <w:rPr>
          <w:rFonts w:ascii="Bookman Old Style" w:hAnsi="Bookman Old Style"/>
          <w:color w:val="000000"/>
          <w:sz w:val="28"/>
          <w:szCs w:val="28"/>
          <w:lang w:val="el-GR"/>
        </w:rPr>
        <w:t>:</w:t>
      </w:r>
    </w:p>
    <w:p w14:paraId="6AED210D" w14:textId="77777777" w:rsidR="00DF7FC9" w:rsidRPr="00DF7FC9" w:rsidRDefault="00DF7FC9" w:rsidP="00DF7FC9">
      <w:pPr>
        <w:jc w:val="both"/>
        <w:rPr>
          <w:rFonts w:ascii="Bookman Old Style" w:hAnsi="Bookman Old Style" w:cs="Arial"/>
          <w:color w:val="000000"/>
          <w:sz w:val="28"/>
          <w:szCs w:val="28"/>
          <w:lang w:val="el-GR"/>
        </w:rPr>
      </w:pPr>
      <w:r w:rsidRPr="00DF7FC9">
        <w:rPr>
          <w:rFonts w:ascii="Bookman Old Style" w:hAnsi="Bookman Old Style"/>
          <w:color w:val="000000"/>
          <w:sz w:val="28"/>
          <w:szCs w:val="28"/>
        </w:rPr>
        <w:t> </w:t>
      </w:r>
    </w:p>
    <w:p w14:paraId="2619EF2D" w14:textId="77777777" w:rsidR="00DF7FC9" w:rsidRPr="00DF7FC9" w:rsidRDefault="00DF7FC9" w:rsidP="00DF7FC9">
      <w:pPr>
        <w:spacing w:line="276" w:lineRule="auto"/>
        <w:ind w:left="426" w:right="390"/>
        <w:jc w:val="both"/>
        <w:rPr>
          <w:rFonts w:ascii="Bookman Old Style" w:hAnsi="Bookman Old Style" w:cs="Arial"/>
          <w:color w:val="000000"/>
          <w:sz w:val="28"/>
          <w:szCs w:val="28"/>
          <w:lang w:val="el-GR"/>
        </w:rPr>
      </w:pPr>
      <w:r w:rsidRPr="00DF7FC9">
        <w:rPr>
          <w:rFonts w:ascii="Bookman Old Style" w:hAnsi="Bookman Old Style"/>
          <w:i/>
          <w:iCs/>
          <w:color w:val="000000"/>
          <w:sz w:val="26"/>
          <w:szCs w:val="26"/>
          <w:lang w:val="el-GR"/>
        </w:rPr>
        <w:t xml:space="preserve">«… το λιγότερο που μπορώ να πω αναφορικά με τη διαπίστωση του Δικαστή είναι ότι δεν διαφαίνεται </w:t>
      </w:r>
      <w:proofErr w:type="spellStart"/>
      <w:r w:rsidRPr="00DF7FC9">
        <w:rPr>
          <w:rFonts w:ascii="Bookman Old Style" w:hAnsi="Bookman Old Style"/>
          <w:i/>
          <w:iCs/>
          <w:color w:val="000000"/>
          <w:sz w:val="26"/>
          <w:szCs w:val="26"/>
          <w:lang w:val="el-GR"/>
        </w:rPr>
        <w:t>απ</w:t>
      </w:r>
      <w:proofErr w:type="spellEnd"/>
      <w:r w:rsidRPr="00DF7FC9">
        <w:rPr>
          <w:rFonts w:ascii="Bookman Old Style" w:hAnsi="Bookman Old Style"/>
          <w:i/>
          <w:iCs/>
          <w:color w:val="000000"/>
          <w:sz w:val="26"/>
          <w:szCs w:val="26"/>
          <w:lang w:val="el-GR"/>
        </w:rPr>
        <w:t>΄ αυτή αν ικανοποιήθηκε ο ίδιος για την ύπαρξη εύλογης υποψίας. Κάποιος θα μπορούσε επιπρόσθετα να παρατηρήσει πως τούτο δεν θα ήταν καν δυνατόν, εν όψει του γεγονότος ότι δεν τέθηκε συγκεκριμένη μαρτυρία ενώπιον του για να μπορεί να κρίνει το θέμα ο ίδιος</w:t>
      </w:r>
      <w:r w:rsidRPr="00DF7FC9">
        <w:rPr>
          <w:rFonts w:ascii="Bookman Old Style" w:hAnsi="Bookman Old Style"/>
          <w:color w:val="000000"/>
          <w:sz w:val="28"/>
          <w:szCs w:val="28"/>
          <w:lang w:val="el-GR"/>
        </w:rPr>
        <w:t>.»</w:t>
      </w:r>
    </w:p>
    <w:p w14:paraId="7EEF07F7" w14:textId="77777777" w:rsidR="00320B24" w:rsidRDefault="00320B24" w:rsidP="0000790C">
      <w:pPr>
        <w:spacing w:line="480" w:lineRule="auto"/>
        <w:ind w:right="-35"/>
        <w:jc w:val="both"/>
        <w:rPr>
          <w:rFonts w:ascii="Bookman Old Style" w:hAnsi="Bookman Old Style" w:cs="Arial"/>
          <w:sz w:val="28"/>
          <w:szCs w:val="28"/>
          <w:lang w:val="el-GR"/>
        </w:rPr>
      </w:pPr>
    </w:p>
    <w:p w14:paraId="12297428" w14:textId="30A5F2FB" w:rsidR="00C0721C" w:rsidRPr="00C13761" w:rsidRDefault="00320B24" w:rsidP="00F14F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δεδομένο λοιπόν ότι στην Ένορκη Δήλωση που χρησιμοποιήθηκε </w:t>
      </w:r>
      <w:r w:rsidR="00D678E6">
        <w:rPr>
          <w:rFonts w:ascii="Bookman Old Style" w:hAnsi="Bookman Old Style" w:cs="Arial"/>
          <w:sz w:val="28"/>
          <w:szCs w:val="28"/>
          <w:lang w:val="el-GR"/>
        </w:rPr>
        <w:t xml:space="preserve">για την έκδοση του Εντάλματος Έρευνας δεν </w:t>
      </w:r>
      <w:r w:rsidR="00F14F9C">
        <w:rPr>
          <w:rFonts w:ascii="Bookman Old Style" w:hAnsi="Bookman Old Style" w:cs="Arial"/>
          <w:sz w:val="28"/>
          <w:szCs w:val="28"/>
          <w:lang w:val="el-GR"/>
        </w:rPr>
        <w:t>υπήρχε αναφορά στο περιεχόμενο της πληροφορίας,</w:t>
      </w:r>
      <w:r w:rsidR="00D678E6">
        <w:rPr>
          <w:rFonts w:ascii="Bookman Old Style" w:hAnsi="Bookman Old Style" w:cs="Arial"/>
          <w:sz w:val="28"/>
          <w:szCs w:val="28"/>
          <w:lang w:val="el-GR"/>
        </w:rPr>
        <w:t xml:space="preserve"> βρίσκω ότι</w:t>
      </w:r>
      <w:r w:rsidR="00DF7FC9" w:rsidRPr="00DF7FC9">
        <w:rPr>
          <w:rFonts w:ascii="Bookman Old Style" w:hAnsi="Bookman Old Style" w:cs="Arial"/>
          <w:sz w:val="28"/>
          <w:szCs w:val="28"/>
          <w:lang w:val="el-GR"/>
        </w:rPr>
        <w:t xml:space="preserve">, </w:t>
      </w:r>
      <w:r w:rsidR="00DF7FC9">
        <w:rPr>
          <w:rFonts w:ascii="Bookman Old Style" w:hAnsi="Bookman Old Style" w:cs="Arial"/>
          <w:sz w:val="28"/>
          <w:szCs w:val="28"/>
          <w:lang w:val="el-GR"/>
        </w:rPr>
        <w:t>στη βάση της πιο πάνω ουσιώδους παράλειψης</w:t>
      </w:r>
      <w:r w:rsidR="00DF7FC9" w:rsidRPr="00DF7FC9">
        <w:rPr>
          <w:rFonts w:ascii="Bookman Old Style" w:hAnsi="Bookman Old Style" w:cs="Arial"/>
          <w:sz w:val="28"/>
          <w:szCs w:val="28"/>
          <w:lang w:val="el-GR"/>
        </w:rPr>
        <w:t>,</w:t>
      </w:r>
      <w:r w:rsidR="00D678E6">
        <w:rPr>
          <w:rFonts w:ascii="Bookman Old Style" w:hAnsi="Bookman Old Style" w:cs="Arial"/>
          <w:sz w:val="28"/>
          <w:szCs w:val="28"/>
          <w:lang w:val="el-GR"/>
        </w:rPr>
        <w:t xml:space="preserve"> το κατώτερο Δικαστήριο </w:t>
      </w:r>
      <w:r w:rsidR="0083522E">
        <w:rPr>
          <w:rFonts w:ascii="Bookman Old Style" w:hAnsi="Bookman Old Style" w:cs="Arial"/>
          <w:sz w:val="28"/>
          <w:szCs w:val="28"/>
          <w:lang w:val="el-GR"/>
        </w:rPr>
        <w:t>δεν θα μπορούσε να είχε ικανοποιηθεί ότι συνέτρεχαν οι προϋποθέσεις έκδοσης</w:t>
      </w:r>
      <w:r w:rsidR="00D96E73">
        <w:rPr>
          <w:rFonts w:ascii="Bookman Old Style" w:hAnsi="Bookman Old Style" w:cs="Arial"/>
          <w:sz w:val="28"/>
          <w:szCs w:val="28"/>
          <w:lang w:val="el-GR"/>
        </w:rPr>
        <w:t xml:space="preserve"> του υπό αναφορά Εντάλματος Έρευνας.</w:t>
      </w:r>
      <w:r w:rsidR="00C0721C">
        <w:rPr>
          <w:rFonts w:ascii="Bookman Old Style" w:hAnsi="Bookman Old Style" w:cs="Arial"/>
          <w:sz w:val="28"/>
          <w:szCs w:val="28"/>
          <w:lang w:val="el-GR"/>
        </w:rPr>
        <w:t xml:space="preserve"> Ως εκ τούτου το Ένταλμα Έρευνας εκδόθηκε καθ΄</w:t>
      </w:r>
      <w:r w:rsidR="0014054B" w:rsidRPr="0014054B">
        <w:rPr>
          <w:rFonts w:ascii="Bookman Old Style" w:hAnsi="Bookman Old Style" w:cs="Arial"/>
          <w:sz w:val="28"/>
          <w:szCs w:val="28"/>
          <w:lang w:val="el-GR"/>
        </w:rPr>
        <w:t xml:space="preserve"> </w:t>
      </w:r>
      <w:r w:rsidR="00C0721C">
        <w:rPr>
          <w:rFonts w:ascii="Bookman Old Style" w:hAnsi="Bookman Old Style" w:cs="Arial"/>
          <w:sz w:val="28"/>
          <w:szCs w:val="28"/>
          <w:lang w:val="el-GR"/>
        </w:rPr>
        <w:t>υπέρβαση της δικαιοδοσίας του.</w:t>
      </w:r>
    </w:p>
    <w:p w14:paraId="3F937354" w14:textId="5F7916C7" w:rsidR="00D96E73" w:rsidRDefault="00824DFC" w:rsidP="00F14F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Κατ’ ακολουθίαν όλων των πιο πάνω, η Αίτηση εγκρίνεται και εκδίδεται Προνομιακό Ένταλμα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με το οποίο το Ένταλμα Έρευνας της οικίας, υποστατικών και οχημάτων του Αιτητή,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25/8/2023, που εκδόθηκε από το Επαρχιακό Δικαστήριο Λεμεσού, ακυρώνεται. </w:t>
      </w:r>
    </w:p>
    <w:p w14:paraId="292C46CF" w14:textId="77777777" w:rsidR="0086134F" w:rsidRDefault="0086134F" w:rsidP="00F14F9C">
      <w:pPr>
        <w:spacing w:line="480" w:lineRule="auto"/>
        <w:ind w:right="-35"/>
        <w:jc w:val="both"/>
        <w:rPr>
          <w:rFonts w:ascii="Bookman Old Style" w:hAnsi="Bookman Old Style" w:cs="Arial"/>
          <w:sz w:val="28"/>
          <w:szCs w:val="28"/>
          <w:lang w:val="el-GR"/>
        </w:rPr>
      </w:pPr>
    </w:p>
    <w:p w14:paraId="38393355" w14:textId="1B10B15A" w:rsidR="0086134F" w:rsidRDefault="0086134F" w:rsidP="00F14F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Τα έξοδα της Αίτησης, όπως και τα έξοδα της Αίτησης 105/2023, για την άδεια, όπως θα υπολογιστούν από τον Πρωτοκολλητή και θα εγκριθούν από το Δικαστήριο, πλέον το Φ.Π.Α., αν υπάρχει, επιδικάζονται υπέρ του Αιτητή και εναντίον της </w:t>
      </w:r>
      <w:proofErr w:type="spellStart"/>
      <w:r>
        <w:rPr>
          <w:rFonts w:ascii="Bookman Old Style" w:hAnsi="Bookman Old Style" w:cs="Arial"/>
          <w:sz w:val="28"/>
          <w:szCs w:val="28"/>
          <w:lang w:val="el-GR"/>
        </w:rPr>
        <w:t>Καθ’ης</w:t>
      </w:r>
      <w:proofErr w:type="spellEnd"/>
      <w:r>
        <w:rPr>
          <w:rFonts w:ascii="Bookman Old Style" w:hAnsi="Bookman Old Style" w:cs="Arial"/>
          <w:sz w:val="28"/>
          <w:szCs w:val="28"/>
          <w:lang w:val="el-GR"/>
        </w:rPr>
        <w:t xml:space="preserve"> η Αίτηση.</w:t>
      </w:r>
    </w:p>
    <w:p w14:paraId="79B544B0" w14:textId="77777777" w:rsidR="0086134F" w:rsidRDefault="0086134F" w:rsidP="00F14F9C">
      <w:pPr>
        <w:spacing w:line="480" w:lineRule="auto"/>
        <w:ind w:right="-35"/>
        <w:jc w:val="both"/>
        <w:rPr>
          <w:rFonts w:ascii="Bookman Old Style" w:hAnsi="Bookman Old Style" w:cs="Arial"/>
          <w:sz w:val="28"/>
          <w:szCs w:val="28"/>
          <w:lang w:val="el-GR"/>
        </w:rPr>
      </w:pPr>
    </w:p>
    <w:p w14:paraId="73B7710E" w14:textId="77777777" w:rsidR="00824DFC" w:rsidRPr="00824DFC" w:rsidRDefault="00824DFC" w:rsidP="00F14F9C">
      <w:pPr>
        <w:spacing w:line="480" w:lineRule="auto"/>
        <w:ind w:right="-35"/>
        <w:jc w:val="both"/>
        <w:rPr>
          <w:rFonts w:ascii="Bookman Old Style" w:hAnsi="Bookman Old Style" w:cs="Arial"/>
          <w:sz w:val="28"/>
          <w:szCs w:val="28"/>
          <w:lang w:val="el-GR"/>
        </w:rPr>
      </w:pPr>
    </w:p>
    <w:p w14:paraId="5974260B" w14:textId="77777777" w:rsidR="005768FF" w:rsidRDefault="005768FF" w:rsidP="0000790C">
      <w:pPr>
        <w:spacing w:line="480" w:lineRule="auto"/>
        <w:ind w:right="-35"/>
        <w:jc w:val="both"/>
        <w:rPr>
          <w:rFonts w:ascii="Bookman Old Style" w:hAnsi="Bookman Old Style" w:cs="Arial"/>
          <w:sz w:val="28"/>
          <w:szCs w:val="28"/>
          <w:lang w:val="el-GR"/>
        </w:rPr>
      </w:pPr>
    </w:p>
    <w:p w14:paraId="0383D997" w14:textId="77777777" w:rsidR="005768FF" w:rsidRDefault="005768FF" w:rsidP="0000790C">
      <w:pPr>
        <w:spacing w:line="480" w:lineRule="auto"/>
        <w:ind w:right="-35"/>
        <w:jc w:val="both"/>
        <w:rPr>
          <w:rFonts w:ascii="Bookman Old Style" w:hAnsi="Bookman Old Style" w:cs="Arial"/>
          <w:sz w:val="28"/>
          <w:szCs w:val="28"/>
          <w:lang w:val="el-GR"/>
        </w:rPr>
      </w:pPr>
    </w:p>
    <w:p w14:paraId="33ABEFE0" w14:textId="77777777" w:rsidR="005768FF" w:rsidRDefault="005768FF" w:rsidP="0000790C">
      <w:pPr>
        <w:spacing w:line="480" w:lineRule="auto"/>
        <w:ind w:right="-35"/>
        <w:jc w:val="both"/>
        <w:rPr>
          <w:rFonts w:ascii="Bookman Old Style" w:hAnsi="Bookman Old Style" w:cs="Arial"/>
          <w:sz w:val="28"/>
          <w:szCs w:val="28"/>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57C0F039" w:rsidR="004C29CA" w:rsidRPr="007A0D8E" w:rsidRDefault="004C29CA" w:rsidP="0000790C">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6872F4" w:rsidRPr="006872F4">
        <w:rPr>
          <w:rFonts w:ascii="Bookman Old Style" w:hAnsi="Bookman Old Style" w:cs="Arial"/>
          <w:b/>
          <w:sz w:val="28"/>
          <w:szCs w:val="28"/>
          <w:lang w:val="el-GR"/>
        </w:rPr>
        <w:t xml:space="preserve"> </w:t>
      </w:r>
      <w:r w:rsidR="006872F4" w:rsidRPr="00C13761">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0F1CDD67" w14:textId="4C1B6052" w:rsidR="004C29CA" w:rsidRPr="007A0D8E" w:rsidRDefault="004C29CA" w:rsidP="00D94A13">
      <w:pPr>
        <w:spacing w:line="480" w:lineRule="auto"/>
        <w:ind w:left="288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 xml:space="preserve">           </w:t>
      </w:r>
      <w:r w:rsidR="006872F4">
        <w:rPr>
          <w:rFonts w:ascii="Bookman Old Style" w:hAnsi="Bookman Old Style" w:cs="Arial"/>
          <w:b/>
          <w:sz w:val="28"/>
          <w:szCs w:val="28"/>
          <w:lang w:val="en-US"/>
        </w:rPr>
        <w:t xml:space="preserve">      </w:t>
      </w:r>
      <w:r w:rsidRPr="007A0D8E">
        <w:rPr>
          <w:rFonts w:ascii="Bookman Old Style" w:hAnsi="Bookman Old Style" w:cs="Arial"/>
          <w:b/>
          <w:sz w:val="28"/>
          <w:szCs w:val="28"/>
          <w:lang w:val="el-GR"/>
        </w:rPr>
        <w:t>Δ.</w:t>
      </w:r>
    </w:p>
    <w:sectPr w:rsidR="004C29CA" w:rsidRPr="007A0D8E"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CC5B" w14:textId="77777777" w:rsidR="00165968" w:rsidRDefault="00165968" w:rsidP="00B43113">
      <w:r>
        <w:separator/>
      </w:r>
    </w:p>
  </w:endnote>
  <w:endnote w:type="continuationSeparator" w:id="0">
    <w:p w14:paraId="5E8D9914" w14:textId="77777777" w:rsidR="00165968" w:rsidRDefault="00165968"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AF9A" w14:textId="77777777" w:rsidR="00165968" w:rsidRDefault="00165968" w:rsidP="00B43113">
      <w:r>
        <w:separator/>
      </w:r>
    </w:p>
  </w:footnote>
  <w:footnote w:type="continuationSeparator" w:id="0">
    <w:p w14:paraId="740FEAE3" w14:textId="77777777" w:rsidR="00165968" w:rsidRDefault="00165968"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15848E75" w:rsidR="00CF75E4" w:rsidRDefault="00CF75E4">
    <w:pPr>
      <w:pStyle w:val="Header"/>
      <w:jc w:val="center"/>
    </w:pPr>
    <w:r>
      <w:fldChar w:fldCharType="begin"/>
    </w:r>
    <w:r>
      <w:instrText xml:space="preserve"> PAGE   \* MERGEFORMAT </w:instrText>
    </w:r>
    <w:r>
      <w:fldChar w:fldCharType="separate"/>
    </w:r>
    <w:r w:rsidR="00180FC1">
      <w:rPr>
        <w:noProof/>
      </w:rPr>
      <w:t>4</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17742">
    <w:abstractNumId w:val="11"/>
  </w:num>
  <w:num w:numId="2" w16cid:durableId="1160852620">
    <w:abstractNumId w:val="14"/>
  </w:num>
  <w:num w:numId="3" w16cid:durableId="1198395004">
    <w:abstractNumId w:val="16"/>
  </w:num>
  <w:num w:numId="4" w16cid:durableId="87699037">
    <w:abstractNumId w:val="4"/>
  </w:num>
  <w:num w:numId="5" w16cid:durableId="2612285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711115">
    <w:abstractNumId w:val="10"/>
  </w:num>
  <w:num w:numId="7" w16cid:durableId="6821277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4846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247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9337102">
    <w:abstractNumId w:val="3"/>
  </w:num>
  <w:num w:numId="11" w16cid:durableId="745807359">
    <w:abstractNumId w:val="0"/>
  </w:num>
  <w:num w:numId="12" w16cid:durableId="1678337966">
    <w:abstractNumId w:val="9"/>
  </w:num>
  <w:num w:numId="13" w16cid:durableId="1472364078">
    <w:abstractNumId w:val="15"/>
  </w:num>
  <w:num w:numId="14" w16cid:durableId="1723601486">
    <w:abstractNumId w:val="2"/>
  </w:num>
  <w:num w:numId="15" w16cid:durableId="1176581645">
    <w:abstractNumId w:val="8"/>
  </w:num>
  <w:num w:numId="16" w16cid:durableId="1807357762">
    <w:abstractNumId w:val="17"/>
  </w:num>
  <w:num w:numId="17" w16cid:durableId="1913657799">
    <w:abstractNumId w:val="7"/>
  </w:num>
  <w:num w:numId="18" w16cid:durableId="638416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1FB0"/>
    <w:rsid w:val="00093424"/>
    <w:rsid w:val="0009358C"/>
    <w:rsid w:val="000A22CD"/>
    <w:rsid w:val="000A2E70"/>
    <w:rsid w:val="000A685B"/>
    <w:rsid w:val="000A7342"/>
    <w:rsid w:val="000B3A75"/>
    <w:rsid w:val="000B53F3"/>
    <w:rsid w:val="000B55AF"/>
    <w:rsid w:val="000B565F"/>
    <w:rsid w:val="000B628C"/>
    <w:rsid w:val="000C4171"/>
    <w:rsid w:val="000C432E"/>
    <w:rsid w:val="000D1294"/>
    <w:rsid w:val="000D512B"/>
    <w:rsid w:val="000D5E56"/>
    <w:rsid w:val="000D763E"/>
    <w:rsid w:val="000E360F"/>
    <w:rsid w:val="000E4325"/>
    <w:rsid w:val="000E77E5"/>
    <w:rsid w:val="000F0639"/>
    <w:rsid w:val="000F6118"/>
    <w:rsid w:val="00101DC5"/>
    <w:rsid w:val="001020C0"/>
    <w:rsid w:val="00105780"/>
    <w:rsid w:val="001070CB"/>
    <w:rsid w:val="00111117"/>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054B"/>
    <w:rsid w:val="00142764"/>
    <w:rsid w:val="00144D59"/>
    <w:rsid w:val="001478D9"/>
    <w:rsid w:val="001505E5"/>
    <w:rsid w:val="001506D1"/>
    <w:rsid w:val="0015347A"/>
    <w:rsid w:val="0016041B"/>
    <w:rsid w:val="001607AD"/>
    <w:rsid w:val="00160B11"/>
    <w:rsid w:val="00162A0D"/>
    <w:rsid w:val="00165968"/>
    <w:rsid w:val="00171E30"/>
    <w:rsid w:val="001725B7"/>
    <w:rsid w:val="00174418"/>
    <w:rsid w:val="0017450C"/>
    <w:rsid w:val="0017483E"/>
    <w:rsid w:val="00180FC1"/>
    <w:rsid w:val="0018425D"/>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48D"/>
    <w:rsid w:val="00212C84"/>
    <w:rsid w:val="00216C55"/>
    <w:rsid w:val="00221854"/>
    <w:rsid w:val="00221C61"/>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523F"/>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0B24"/>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67993"/>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1B11"/>
    <w:rsid w:val="003D3D98"/>
    <w:rsid w:val="003D7822"/>
    <w:rsid w:val="003E1C8C"/>
    <w:rsid w:val="003E1F2E"/>
    <w:rsid w:val="003E3157"/>
    <w:rsid w:val="003E4384"/>
    <w:rsid w:val="003E50AF"/>
    <w:rsid w:val="003E67F9"/>
    <w:rsid w:val="003F0741"/>
    <w:rsid w:val="003F0B03"/>
    <w:rsid w:val="003F0FB1"/>
    <w:rsid w:val="003F158B"/>
    <w:rsid w:val="003F1871"/>
    <w:rsid w:val="003F18B0"/>
    <w:rsid w:val="003F1FF3"/>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0663"/>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4B4B"/>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85F8A"/>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5F0FBD"/>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872F4"/>
    <w:rsid w:val="006906F6"/>
    <w:rsid w:val="0069114A"/>
    <w:rsid w:val="0069157F"/>
    <w:rsid w:val="00691690"/>
    <w:rsid w:val="00691BEC"/>
    <w:rsid w:val="006924A3"/>
    <w:rsid w:val="00692BC5"/>
    <w:rsid w:val="00694AF3"/>
    <w:rsid w:val="00697CB0"/>
    <w:rsid w:val="006A030A"/>
    <w:rsid w:val="006A219E"/>
    <w:rsid w:val="006A35A6"/>
    <w:rsid w:val="006A457C"/>
    <w:rsid w:val="006B1138"/>
    <w:rsid w:val="006B1A70"/>
    <w:rsid w:val="006C0510"/>
    <w:rsid w:val="006D0B64"/>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4DFC"/>
    <w:rsid w:val="00825237"/>
    <w:rsid w:val="008264A6"/>
    <w:rsid w:val="00830BA8"/>
    <w:rsid w:val="00831121"/>
    <w:rsid w:val="0083522E"/>
    <w:rsid w:val="00836396"/>
    <w:rsid w:val="008376CB"/>
    <w:rsid w:val="00837E71"/>
    <w:rsid w:val="00843D99"/>
    <w:rsid w:val="00846C09"/>
    <w:rsid w:val="00851456"/>
    <w:rsid w:val="00852ED4"/>
    <w:rsid w:val="00854B6B"/>
    <w:rsid w:val="0086134F"/>
    <w:rsid w:val="00865FA3"/>
    <w:rsid w:val="0087152E"/>
    <w:rsid w:val="0087268E"/>
    <w:rsid w:val="00874F0C"/>
    <w:rsid w:val="0087796B"/>
    <w:rsid w:val="008842A1"/>
    <w:rsid w:val="00891B19"/>
    <w:rsid w:val="008969EE"/>
    <w:rsid w:val="00896E38"/>
    <w:rsid w:val="008A317B"/>
    <w:rsid w:val="008A3251"/>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343B"/>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402D"/>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0B3A"/>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57838"/>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16"/>
    <w:rsid w:val="00BE1639"/>
    <w:rsid w:val="00BE2772"/>
    <w:rsid w:val="00BE4595"/>
    <w:rsid w:val="00BF0023"/>
    <w:rsid w:val="00BF01A2"/>
    <w:rsid w:val="00BF0A7A"/>
    <w:rsid w:val="00BF4175"/>
    <w:rsid w:val="00BF434D"/>
    <w:rsid w:val="00BF6024"/>
    <w:rsid w:val="00C01744"/>
    <w:rsid w:val="00C02EE5"/>
    <w:rsid w:val="00C06CA6"/>
    <w:rsid w:val="00C0721C"/>
    <w:rsid w:val="00C13761"/>
    <w:rsid w:val="00C146DB"/>
    <w:rsid w:val="00C15F65"/>
    <w:rsid w:val="00C17EE5"/>
    <w:rsid w:val="00C3024A"/>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8E6"/>
    <w:rsid w:val="00D67FAD"/>
    <w:rsid w:val="00D74C58"/>
    <w:rsid w:val="00D75F27"/>
    <w:rsid w:val="00D76012"/>
    <w:rsid w:val="00D85EB2"/>
    <w:rsid w:val="00D874F9"/>
    <w:rsid w:val="00D94A13"/>
    <w:rsid w:val="00D95735"/>
    <w:rsid w:val="00D95D64"/>
    <w:rsid w:val="00D96E73"/>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DF7FC9"/>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1B58"/>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13ADE"/>
    <w:rsid w:val="00F14F9C"/>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194"/>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05030477">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93974848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27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8201-272A-4627-91A6-F5B1A9AC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Demosthenous  Pinelopi</cp:lastModifiedBy>
  <cp:revision>3</cp:revision>
  <cp:lastPrinted>2023-10-16T06:09:00Z</cp:lastPrinted>
  <dcterms:created xsi:type="dcterms:W3CDTF">2023-10-13T12:47:00Z</dcterms:created>
  <dcterms:modified xsi:type="dcterms:W3CDTF">2023-10-23T05:32:00Z</dcterms:modified>
</cp:coreProperties>
</file>